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323C" w14:textId="39AC599D" w:rsidR="00C15B17" w:rsidRPr="00AC0BAF" w:rsidRDefault="00C37474" w:rsidP="00C15B17">
      <w:pPr>
        <w:ind w:left="567" w:hanging="425"/>
        <w:jc w:val="center"/>
        <w:rPr>
          <w:rFonts w:cs="Calibri"/>
          <w:b/>
          <w:bCs/>
          <w:color w:val="266C9F"/>
          <w:sz w:val="44"/>
          <w:szCs w:val="36"/>
          <w:lang w:val="en-GB"/>
        </w:rPr>
      </w:pPr>
      <w:proofErr w:type="spellStart"/>
      <w:r>
        <w:rPr>
          <w:rFonts w:cs="Calibri"/>
          <w:b/>
          <w:bCs/>
          <w:color w:val="266C9F"/>
          <w:sz w:val="44"/>
          <w:szCs w:val="36"/>
          <w:lang w:val="en-GB"/>
        </w:rPr>
        <w:t>Leiðbeiningar</w:t>
      </w:r>
      <w:proofErr w:type="spellEnd"/>
      <w:r>
        <w:rPr>
          <w:rFonts w:cs="Calibri"/>
          <w:b/>
          <w:bCs/>
          <w:color w:val="266C9F"/>
          <w:sz w:val="44"/>
          <w:szCs w:val="36"/>
          <w:lang w:val="en-GB"/>
        </w:rPr>
        <w:t xml:space="preserve"> </w:t>
      </w:r>
      <w:proofErr w:type="spellStart"/>
      <w:r>
        <w:rPr>
          <w:rFonts w:cs="Calibri"/>
          <w:b/>
          <w:bCs/>
          <w:color w:val="266C9F"/>
          <w:sz w:val="44"/>
          <w:szCs w:val="36"/>
          <w:lang w:val="en-GB"/>
        </w:rPr>
        <w:t>með</w:t>
      </w:r>
      <w:proofErr w:type="spellEnd"/>
      <w:r>
        <w:rPr>
          <w:rFonts w:cs="Calibri"/>
          <w:b/>
          <w:bCs/>
          <w:color w:val="266C9F"/>
          <w:sz w:val="44"/>
          <w:szCs w:val="36"/>
          <w:lang w:val="en-GB"/>
        </w:rPr>
        <w:t xml:space="preserve"> </w:t>
      </w:r>
      <w:proofErr w:type="spellStart"/>
      <w:r>
        <w:rPr>
          <w:rFonts w:cs="Calibri"/>
          <w:b/>
          <w:bCs/>
          <w:color w:val="266C9F"/>
          <w:sz w:val="44"/>
          <w:szCs w:val="36"/>
          <w:lang w:val="en-GB"/>
        </w:rPr>
        <w:t>námsefninu</w:t>
      </w:r>
      <w:proofErr w:type="spellEnd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716"/>
        <w:gridCol w:w="1957"/>
        <w:gridCol w:w="4111"/>
        <w:gridCol w:w="567"/>
      </w:tblGrid>
      <w:tr w:rsidR="007C0F63" w:rsidRPr="00E03782" w14:paraId="511F4BF6" w14:textId="77777777" w:rsidTr="00AC0BAF">
        <w:tc>
          <w:tcPr>
            <w:tcW w:w="2716" w:type="dxa"/>
            <w:shd w:val="clear" w:color="auto" w:fill="4DAE3A"/>
          </w:tcPr>
          <w:p w14:paraId="49715C42" w14:textId="2F4FF4FE" w:rsidR="007C0F63" w:rsidRPr="00A9636B" w:rsidRDefault="00104ED5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Titill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CED27DF" w14:textId="531265BF" w:rsidR="007C0F63" w:rsidRPr="005B737B" w:rsidRDefault="00AF415E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 w:rsidRPr="00AF415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EntreComp</w:t>
            </w:r>
            <w:proofErr w:type="spellEnd"/>
            <w:r w:rsidRPr="00AF415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AF415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ramminn</w:t>
            </w:r>
            <w:proofErr w:type="spellEnd"/>
            <w:r w:rsidRPr="00AF415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AF415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fyrir</w:t>
            </w:r>
            <w:proofErr w:type="spellEnd"/>
            <w:r w:rsidRPr="00AF415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AF415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óáþreifanlegan</w:t>
            </w:r>
            <w:proofErr w:type="spellEnd"/>
            <w:r w:rsidRPr="00AF415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AF415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menningararf</w:t>
            </w:r>
            <w:proofErr w:type="spellEnd"/>
          </w:p>
        </w:tc>
      </w:tr>
      <w:tr w:rsidR="007C0F63" w:rsidRPr="00E03782" w14:paraId="3810A9BC" w14:textId="77777777" w:rsidTr="00AC0BAF">
        <w:tc>
          <w:tcPr>
            <w:tcW w:w="2716" w:type="dxa"/>
            <w:shd w:val="clear" w:color="auto" w:fill="4DAE3A"/>
          </w:tcPr>
          <w:p w14:paraId="38B1EDD1" w14:textId="01568AE1" w:rsidR="007C0F63" w:rsidRPr="00A9636B" w:rsidRDefault="00104ED5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Lykilorð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CFD2F6A" w14:textId="74E99788" w:rsidR="007C0F63" w:rsidRPr="005B737B" w:rsidRDefault="005B737B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 w:rsidRPr="005B737B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EntreComp</w:t>
            </w:r>
            <w:proofErr w:type="spellEnd"/>
            <w:r w:rsidRPr="005B737B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 w:rsidR="0066124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óáþreifanlegur</w:t>
            </w:r>
            <w:proofErr w:type="spellEnd"/>
            <w:r w:rsidR="0066124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66124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menningararfur</w:t>
            </w:r>
            <w:proofErr w:type="spellEnd"/>
            <w:r w:rsidRPr="005B737B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 w:rsidR="0066124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hugmyndir</w:t>
            </w:r>
            <w:proofErr w:type="spellEnd"/>
            <w:r w:rsidRPr="005B737B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 w:rsidR="0066124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tækifæri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 w:rsidR="0066124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símenntun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 w:rsidR="0066124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frumkvöðlar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 w:rsidR="0066124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framtakssemi</w:t>
            </w:r>
            <w:proofErr w:type="spellEnd"/>
          </w:p>
        </w:tc>
      </w:tr>
      <w:tr w:rsidR="007C0F63" w:rsidRPr="00E03782" w14:paraId="2B348AA0" w14:textId="77777777" w:rsidTr="00AC0BAF">
        <w:tc>
          <w:tcPr>
            <w:tcW w:w="2716" w:type="dxa"/>
            <w:shd w:val="clear" w:color="auto" w:fill="4DAE3A"/>
          </w:tcPr>
          <w:p w14:paraId="724C5BEC" w14:textId="1A2BD374" w:rsidR="007C0F63" w:rsidRPr="005B737B" w:rsidRDefault="00104ED5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Markmið</w:t>
            </w:r>
            <w:proofErr w:type="spellEnd"/>
            <w:r w:rsidR="007C0F63" w:rsidRPr="005B737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7A43981" w14:textId="59AD5A08" w:rsidR="00472228" w:rsidRPr="00472228" w:rsidRDefault="006404CB" w:rsidP="005B737B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K</w:t>
            </w:r>
            <w:r w:rsidR="00472228" w:rsidRPr="00472228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ynning</w:t>
            </w:r>
            <w:proofErr w:type="spellEnd"/>
            <w:r w:rsidR="00472228" w:rsidRPr="00472228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á </w:t>
            </w:r>
            <w:proofErr w:type="spellStart"/>
            <w:r w:rsidR="00472228" w:rsidRPr="00472228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EntreComp</w:t>
            </w:r>
            <w:proofErr w:type="spellEnd"/>
            <w:r w:rsidR="00472228" w:rsidRPr="00472228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472228" w:rsidRPr="00472228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rammanum</w:t>
            </w:r>
            <w:proofErr w:type="spellEnd"/>
          </w:p>
          <w:p w14:paraId="3FD7227F" w14:textId="4E03AECA" w:rsidR="006404CB" w:rsidRPr="006404CB" w:rsidRDefault="006404CB" w:rsidP="005B737B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N</w:t>
            </w:r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ýjar</w:t>
            </w:r>
            <w:proofErr w:type="spellEnd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hugmyndir</w:t>
            </w:r>
            <w:proofErr w:type="spellEnd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að</w:t>
            </w:r>
            <w:proofErr w:type="spellEnd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tækifærum</w:t>
            </w:r>
            <w:proofErr w:type="spellEnd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óáþreifanlegs</w:t>
            </w:r>
            <w:proofErr w:type="spellEnd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US"/>
              </w:rPr>
              <w:t>menningararfs</w:t>
            </w:r>
            <w:proofErr w:type="spellEnd"/>
          </w:p>
          <w:p w14:paraId="766F69A3" w14:textId="673D4BFF" w:rsidR="005B737B" w:rsidRPr="006404CB" w:rsidRDefault="006404CB" w:rsidP="005B737B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</w:pPr>
            <w:proofErr w:type="spellStart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Hæfni</w:t>
            </w:r>
            <w:proofErr w:type="spellEnd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til</w:t>
            </w:r>
            <w:proofErr w:type="spellEnd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að</w:t>
            </w:r>
            <w:proofErr w:type="spellEnd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vinna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nýsköpun</w:t>
            </w:r>
            <w:proofErr w:type="spellEnd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 xml:space="preserve"> í </w:t>
            </w:r>
            <w:proofErr w:type="spellStart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óáþreifanlegum</w:t>
            </w:r>
            <w:proofErr w:type="spellEnd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menningararfi</w:t>
            </w:r>
            <w:proofErr w:type="spellEnd"/>
            <w:r w:rsidRPr="006404CB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  <w:t>​</w:t>
            </w:r>
          </w:p>
        </w:tc>
      </w:tr>
      <w:tr w:rsidR="007C0F63" w:rsidRPr="00E03782" w14:paraId="0A0E847F" w14:textId="77777777" w:rsidTr="00AC0BAF">
        <w:tc>
          <w:tcPr>
            <w:tcW w:w="2716" w:type="dxa"/>
            <w:shd w:val="clear" w:color="auto" w:fill="4DAE3A"/>
          </w:tcPr>
          <w:p w14:paraId="19B6F212" w14:textId="7BF8E2A0" w:rsidR="007C0F63" w:rsidRPr="005B737B" w:rsidRDefault="00104ED5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Hæfniviðmið</w:t>
            </w:r>
            <w:proofErr w:type="spellEnd"/>
            <w:r w:rsidR="007C0F63" w:rsidRPr="005B737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A715D21" w14:textId="58ACC418" w:rsidR="007C0F63" w:rsidRPr="005B737B" w:rsidRDefault="00807EE8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Mat,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nýting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þá</w:t>
            </w:r>
            <w:proofErr w:type="spellEnd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endur</w:t>
            </w:r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mat</w:t>
            </w:r>
            <w:proofErr w:type="spellEnd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á </w:t>
            </w:r>
            <w:proofErr w:type="spellStart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nýjum</w:t>
            </w:r>
            <w:proofErr w:type="spellEnd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hugmyndum</w:t>
            </w:r>
            <w:proofErr w:type="spellEnd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í </w:t>
            </w:r>
            <w:proofErr w:type="spellStart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verkefnum</w:t>
            </w:r>
            <w:proofErr w:type="spellEnd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tengdum</w:t>
            </w:r>
            <w:proofErr w:type="spellEnd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óáþreifanlegan</w:t>
            </w:r>
            <w:proofErr w:type="spellEnd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menningararf</w:t>
            </w:r>
            <w:proofErr w:type="spellEnd"/>
            <w:r w:rsidR="00B307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. </w:t>
            </w:r>
          </w:p>
        </w:tc>
      </w:tr>
      <w:tr w:rsidR="007C0F63" w:rsidRPr="005B737B" w14:paraId="20881FD0" w14:textId="77777777" w:rsidTr="00AC0BAF">
        <w:tc>
          <w:tcPr>
            <w:tcW w:w="2716" w:type="dxa"/>
            <w:shd w:val="clear" w:color="auto" w:fill="4DAE3A"/>
          </w:tcPr>
          <w:p w14:paraId="65E188EC" w14:textId="5306A4AD" w:rsidR="007C0F63" w:rsidRPr="005B737B" w:rsidRDefault="007C0F63" w:rsidP="007C0F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5B737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EQF </w:t>
            </w:r>
            <w:proofErr w:type="spellStart"/>
            <w:r w:rsidR="00104ED5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þrep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84EC27E" w14:textId="35A17CA9" w:rsidR="007C0F63" w:rsidRPr="005B737B" w:rsidRDefault="005B737B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4</w:t>
            </w:r>
          </w:p>
        </w:tc>
      </w:tr>
      <w:tr w:rsidR="00F3209E" w:rsidRPr="005B737B" w14:paraId="2D8047A9" w14:textId="77777777" w:rsidTr="000834BC">
        <w:tc>
          <w:tcPr>
            <w:tcW w:w="2716" w:type="dxa"/>
            <w:shd w:val="clear" w:color="auto" w:fill="4DAE3A"/>
          </w:tcPr>
          <w:p w14:paraId="1CF106A5" w14:textId="79840E83" w:rsidR="00F3209E" w:rsidRPr="005B737B" w:rsidRDefault="000B3C98" w:rsidP="000834BC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Færni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hæfni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73F48006" w14:textId="0ADB6AEB" w:rsidR="002214C4" w:rsidRPr="002214C4" w:rsidRDefault="002214C4" w:rsidP="002214C4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1.1 </w:t>
            </w:r>
            <w:r w:rsidR="005A443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Finna </w:t>
            </w:r>
            <w:proofErr w:type="spellStart"/>
            <w:r w:rsidR="005A443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tækifæri</w:t>
            </w:r>
            <w:proofErr w:type="spellEnd"/>
          </w:p>
          <w:p w14:paraId="05E06CAE" w14:textId="77777777" w:rsidR="002214C4" w:rsidRPr="002214C4" w:rsidRDefault="002214C4" w:rsidP="002214C4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1.2 </w:t>
            </w:r>
            <w:proofErr w:type="spellStart"/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Sköpun</w:t>
            </w:r>
            <w:proofErr w:type="spellEnd"/>
          </w:p>
          <w:p w14:paraId="0DB6047D" w14:textId="77777777" w:rsidR="002214C4" w:rsidRPr="002214C4" w:rsidRDefault="002214C4" w:rsidP="002214C4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1.3 </w:t>
            </w:r>
            <w:proofErr w:type="spellStart"/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Sýn</w:t>
            </w:r>
            <w:proofErr w:type="spellEnd"/>
          </w:p>
          <w:p w14:paraId="1AD6E882" w14:textId="1EEB61D8" w:rsidR="002214C4" w:rsidRPr="002214C4" w:rsidRDefault="002214C4" w:rsidP="002214C4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1.4</w:t>
            </w:r>
            <w:r w:rsidR="005A443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. Mat á </w:t>
            </w:r>
            <w:proofErr w:type="spellStart"/>
            <w:r w:rsidR="005A443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virði</w:t>
            </w:r>
            <w:proofErr w:type="spellEnd"/>
            <w:r w:rsidR="005A443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5A443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hugmyndar</w:t>
            </w:r>
            <w:proofErr w:type="spellEnd"/>
          </w:p>
          <w:p w14:paraId="6598AF0C" w14:textId="41A28670" w:rsidR="002214C4" w:rsidRPr="005B737B" w:rsidRDefault="002214C4" w:rsidP="002214C4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1.5 </w:t>
            </w:r>
            <w:proofErr w:type="spellStart"/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Siðferðileg</w:t>
            </w:r>
            <w:proofErr w:type="spellEnd"/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sjálfbær</w:t>
            </w:r>
            <w:proofErr w:type="spellEnd"/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2214C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hugsun</w:t>
            </w:r>
            <w:proofErr w:type="spellEnd"/>
          </w:p>
        </w:tc>
      </w:tr>
      <w:tr w:rsidR="007C0F63" w:rsidRPr="005B737B" w14:paraId="387B778A" w14:textId="77777777" w:rsidTr="00AC0BAF">
        <w:tc>
          <w:tcPr>
            <w:tcW w:w="2716" w:type="dxa"/>
            <w:shd w:val="clear" w:color="auto" w:fill="4DAE3A"/>
          </w:tcPr>
          <w:p w14:paraId="69FDB6E1" w14:textId="38EFBFB5" w:rsidR="007C0F63" w:rsidRPr="005B737B" w:rsidRDefault="000B3C98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Tími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455DBF2A" w14:textId="40406E96" w:rsidR="007C0F63" w:rsidRPr="005B737B" w:rsidRDefault="006E7523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</w:t>
            </w:r>
            <w:r w:rsidR="005A443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5A443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klst</w:t>
            </w:r>
            <w:proofErr w:type="spellEnd"/>
            <w:r w:rsidR="005A443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.</w:t>
            </w:r>
          </w:p>
        </w:tc>
      </w:tr>
      <w:tr w:rsidR="007C0F63" w:rsidRPr="0020605E" w14:paraId="72A42F46" w14:textId="77777777" w:rsidTr="00AC0BAF">
        <w:tc>
          <w:tcPr>
            <w:tcW w:w="2716" w:type="dxa"/>
            <w:shd w:val="clear" w:color="auto" w:fill="4DAE3A"/>
          </w:tcPr>
          <w:p w14:paraId="73A5B555" w14:textId="6BEE4608" w:rsidR="007C0F63" w:rsidRPr="005B737B" w:rsidRDefault="000B3C98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Námsþættir</w:t>
            </w:r>
            <w:proofErr w:type="spellEnd"/>
            <w:r w:rsidR="007C0F63" w:rsidRPr="005B737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08A73F5F" w14:textId="592501AA" w:rsidR="007C0F63" w:rsidRPr="00D40E91" w:rsidRDefault="00AF415E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</w:pPr>
            <w:r w:rsidRPr="00D40E91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EntreComp ramminn fyrir óáþreifanlegan menningararf</w:t>
            </w:r>
          </w:p>
          <w:p w14:paraId="6EE13BFA" w14:textId="77777777" w:rsidR="00661245" w:rsidRPr="00F667F9" w:rsidRDefault="00661245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</w:pPr>
          </w:p>
          <w:p w14:paraId="1336C9B3" w14:textId="65FB508E" w:rsidR="007C0F63" w:rsidRPr="00D40E91" w:rsidRDefault="00181BCE" w:rsidP="00F667F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</w:pPr>
            <w:r w:rsidRPr="00D40E91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hluti</w:t>
            </w:r>
            <w:r w:rsidR="007C0F63" w:rsidRPr="00D40E91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: </w:t>
            </w:r>
            <w:r w:rsidRPr="00D40E91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 xml:space="preserve">Bakgrunnur og kynning á EntreComp </w:t>
            </w:r>
            <w:r w:rsidR="005B737B" w:rsidRPr="00D40E91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</w:p>
          <w:p w14:paraId="37E4959F" w14:textId="0B6FB894" w:rsidR="007C0F63" w:rsidRPr="00F667F9" w:rsidRDefault="00BC6046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Inngangur</w:t>
            </w:r>
            <w:r w:rsidR="007C0F63"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: </w:t>
            </w:r>
            <w:r w:rsidR="00DF27B7"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Hæfnirammi um frumkvöðlafærni (The Entrepreneurial Competence Framework​)​</w:t>
            </w:r>
          </w:p>
          <w:p w14:paraId="2A7C2944" w14:textId="24A6F32B" w:rsidR="00961846" w:rsidRPr="00F667F9" w:rsidRDefault="00961846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Kafli 1 – Frumkvöðlastarf sem hæfni</w:t>
            </w:r>
          </w:p>
          <w:p w14:paraId="34C6ED0D" w14:textId="1C14BC1C" w:rsidR="00961846" w:rsidRPr="00F667F9" w:rsidRDefault="00961846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Kafli 2 – Bakgrunnur EntreComp</w:t>
            </w:r>
          </w:p>
          <w:p w14:paraId="2D9775B5" w14:textId="7B7C295B" w:rsidR="006824D8" w:rsidRPr="00F667F9" w:rsidRDefault="006824D8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Kafli 2 – Bakgrunnur EntreComp: Rammi um lykilhæfni fyrir símenntun</w:t>
            </w:r>
          </w:p>
          <w:p w14:paraId="526B1847" w14:textId="63A56444" w:rsidR="006824D8" w:rsidRPr="00F667F9" w:rsidRDefault="006824D8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Kafli 2 – Bakgrunnur EntreComp: Framtak og frumkvæði</w:t>
            </w:r>
          </w:p>
          <w:p w14:paraId="235775A2" w14:textId="1754B044" w:rsidR="004E5F6E" w:rsidRPr="00F667F9" w:rsidRDefault="004E5F6E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Kafli 3 – Núverandi Evrópurammar fyrir menntun og þjálfun</w:t>
            </w:r>
          </w:p>
          <w:p w14:paraId="10665079" w14:textId="7CB6BD31" w:rsidR="004E5F6E" w:rsidRPr="00F667F9" w:rsidRDefault="004E5F6E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Kafli 4 – Eftirfylgni við EntreComp</w:t>
            </w:r>
          </w:p>
          <w:p w14:paraId="1987529C" w14:textId="77777777" w:rsidR="00BC6046" w:rsidRPr="00F667F9" w:rsidRDefault="004E5F6E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Kafli 4</w:t>
            </w:r>
            <w:r w:rsidR="00BC6046"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-</w:t>
            </w:r>
            <w:r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 EntreComp í framkvæmd; Fáðu innblástur og láttu það </w:t>
            </w:r>
          </w:p>
          <w:p w14:paraId="4F093968" w14:textId="458BA6B5" w:rsidR="004E5F6E" w:rsidRPr="00F667F9" w:rsidRDefault="004E5F6E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gerast!</w:t>
            </w:r>
          </w:p>
          <w:p w14:paraId="7227DE98" w14:textId="77777777" w:rsidR="00D40E91" w:rsidRPr="00F667F9" w:rsidRDefault="00D40E91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Kafli 5 – EntreComp og óáþreifanlegur menningararfur</w:t>
            </w:r>
          </w:p>
          <w:p w14:paraId="359123E9" w14:textId="0BB9D412" w:rsidR="005B737B" w:rsidRPr="00BC6046" w:rsidRDefault="00181BCE" w:rsidP="00F667F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</w:pPr>
            <w:r w:rsidRPr="00BC6046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lastRenderedPageBreak/>
              <w:t>hluti</w:t>
            </w:r>
            <w:r w:rsidR="007C0F63" w:rsidRPr="00BC6046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: </w:t>
            </w:r>
            <w:r w:rsidRPr="00BC6046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Leiðbeiningar um EntreComp: uppbygging og innihald</w:t>
            </w:r>
          </w:p>
          <w:p w14:paraId="28B2888D" w14:textId="77777777" w:rsidR="009B1F37" w:rsidRPr="00F667F9" w:rsidRDefault="009B1F37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1 – Stuttur leiðarvísir í gegnum EntreComp rammann </w:t>
            </w:r>
          </w:p>
          <w:p w14:paraId="0A51E56D" w14:textId="77777777" w:rsidR="00E67BEC" w:rsidRPr="00F667F9" w:rsidRDefault="009B1F37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2 – 8-þrepa færniviðmið: </w:t>
            </w:r>
          </w:p>
          <w:p w14:paraId="28726B96" w14:textId="77777777" w:rsidR="00E67BEC" w:rsidRPr="00F667F9" w:rsidRDefault="00E67BEC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3 – HUGMYNDIR OG TÆKFÆRI​</w:t>
            </w:r>
          </w:p>
          <w:p w14:paraId="072450AF" w14:textId="77777777" w:rsidR="00E67BEC" w:rsidRPr="00F667F9" w:rsidRDefault="00E67BEC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4 – ÚRRÆÐI​</w:t>
            </w:r>
          </w:p>
          <w:p w14:paraId="2672A3CF" w14:textId="77777777" w:rsidR="00E67BEC" w:rsidRPr="00F667F9" w:rsidRDefault="00E67BEC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5 – Í FRAMKVÆMD​</w:t>
            </w:r>
          </w:p>
          <w:p w14:paraId="079C978A" w14:textId="77777777" w:rsidR="00E67BEC" w:rsidRPr="00F667F9" w:rsidRDefault="00E67BEC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</w:pPr>
          </w:p>
          <w:p w14:paraId="1E8F635C" w14:textId="1941028C" w:rsidR="0020605E" w:rsidRPr="00F667F9" w:rsidRDefault="0020605E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</w:pPr>
          </w:p>
          <w:p w14:paraId="725EAC72" w14:textId="3D587A48" w:rsidR="00B0192A" w:rsidRPr="00F667F9" w:rsidRDefault="001E5F13" w:rsidP="00F667F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</w:pPr>
            <w:r w:rsidRPr="00B0192A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hluti</w:t>
            </w:r>
            <w:r w:rsidR="0020605E" w:rsidRPr="00B0192A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 xml:space="preserve">: </w:t>
            </w:r>
            <w:r w:rsidRPr="00B0192A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Stoð HUGMYNDA OG TÆKIFÆRA: Nákvæm sundurliðun</w:t>
            </w:r>
          </w:p>
          <w:p w14:paraId="1ADDCA34" w14:textId="77777777" w:rsidR="00D27E0A" w:rsidRPr="00F667F9" w:rsidRDefault="00D27E0A" w:rsidP="00F667F9">
            <w:pPr>
              <w:pStyle w:val="Prrafodelista"/>
              <w:spacing w:after="0" w:line="240" w:lineRule="auto"/>
              <w:ind w:left="696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</w:pPr>
            <w:r w:rsidRPr="00F667F9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Kafli 1 – HUGMYNDIR OG TÆKIFÆRI stoðin: Ítarlegt yfirlit</w:t>
            </w:r>
          </w:p>
          <w:p w14:paraId="35740559" w14:textId="77777777" w:rsidR="003460AB" w:rsidRPr="00F667F9" w:rsidRDefault="003460AB" w:rsidP="00F667F9">
            <w:pPr>
              <w:pStyle w:val="paragraph"/>
              <w:spacing w:before="0" w:beforeAutospacing="0" w:after="0" w:afterAutospacing="0"/>
              <w:ind w:left="696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266C9F"/>
                <w:sz w:val="22"/>
                <w:szCs w:val="22"/>
                <w:lang w:val="sk-SK"/>
              </w:rPr>
            </w:pPr>
            <w:r w:rsidRPr="00F667F9">
              <w:rPr>
                <w:rFonts w:asciiTheme="minorHAnsi" w:hAnsiTheme="minorHAnsi" w:cstheme="minorHAnsi"/>
                <w:color w:val="266C9F"/>
                <w:sz w:val="22"/>
                <w:szCs w:val="22"/>
                <w:lang w:val="sk-SK"/>
              </w:rPr>
              <w:t>Kafli 2 – 1.1 Að koma auga á, skapa og grípa tækifæri</w:t>
            </w:r>
            <w:r w:rsidRPr="00F667F9">
              <w:rPr>
                <w:rFonts w:asciiTheme="minorHAnsi" w:hAnsiTheme="minorHAnsi" w:cstheme="minorHAnsi"/>
                <w:b/>
                <w:bCs/>
                <w:color w:val="266C9F"/>
                <w:sz w:val="22"/>
                <w:szCs w:val="22"/>
                <w:lang w:val="sk-SK"/>
              </w:rPr>
              <w:t>​</w:t>
            </w:r>
          </w:p>
          <w:p w14:paraId="64DA80F9" w14:textId="77777777" w:rsidR="003460AB" w:rsidRPr="00F667F9" w:rsidRDefault="003460AB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2 – 1.1 Að koma auga á tækifærin: Áhersla á áskoranir</w:t>
            </w:r>
          </w:p>
          <w:p w14:paraId="703CD13A" w14:textId="77777777" w:rsidR="003460AB" w:rsidRPr="00F667F9" w:rsidRDefault="003460AB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2 – 1.1 Að koma auga á tækifærin: Þarfir í dulargervi </w:t>
            </w:r>
          </w:p>
          <w:p w14:paraId="6D3ABE57" w14:textId="77777777" w:rsidR="0069582F" w:rsidRPr="00F667F9" w:rsidRDefault="0069582F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2 – 1.1 Að koma auga á tækifærin: Að greina samhengið</w:t>
            </w:r>
          </w:p>
          <w:p w14:paraId="44DCD87C" w14:textId="77777777" w:rsidR="0069582F" w:rsidRPr="00F667F9" w:rsidRDefault="0069582F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3 – 1.2 Sköpun: Vertu opin/nn og forvitin/nn</w:t>
            </w:r>
          </w:p>
          <w:p w14:paraId="7BCD48BD" w14:textId="77777777" w:rsidR="0018752A" w:rsidRPr="00F667F9" w:rsidRDefault="0018752A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3 – 1.2 Sköpunarkraftur: Þróaðu hugmynd</w:t>
            </w:r>
          </w:p>
          <w:p w14:paraId="46EB7D92" w14:textId="77777777" w:rsidR="00C53213" w:rsidRPr="00F667F9" w:rsidRDefault="00C53213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3 – 1.2 Sköpunarkraftur: Að skilgreina vandamál</w:t>
            </w:r>
          </w:p>
          <w:p w14:paraId="0A16EAE7" w14:textId="77777777" w:rsidR="00C53213" w:rsidRPr="00F667F9" w:rsidRDefault="00C53213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3 – 1.2 Sköpunarkraftur: Gildi hönnunar</w:t>
            </w:r>
          </w:p>
          <w:p w14:paraId="25FBD4A2" w14:textId="77777777" w:rsidR="00C53213" w:rsidRPr="00F667F9" w:rsidRDefault="00C53213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3 – 1.2 Sköpunarkraftur: Vertu nýjungagjarn</w:t>
            </w:r>
          </w:p>
          <w:p w14:paraId="1229FC14" w14:textId="77777777" w:rsidR="001E6F7E" w:rsidRPr="00F667F9" w:rsidRDefault="001E6F7E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4 – 1.3 Sýn: Sjáðu fyrir þér…</w:t>
            </w:r>
          </w:p>
          <w:p w14:paraId="457FC147" w14:textId="77777777" w:rsidR="001E6F7E" w:rsidRPr="00F667F9" w:rsidRDefault="001E6F7E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4 – 1.3 Sýn: Stefnumótandi hugsun</w:t>
            </w:r>
          </w:p>
          <w:p w14:paraId="0A776D45" w14:textId="10502278" w:rsidR="001E6F7E" w:rsidRPr="00F667F9" w:rsidRDefault="001E6F7E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4 – 1.3 Sýn: Leiðbeinandi framkvæmd</w:t>
            </w:r>
          </w:p>
          <w:p w14:paraId="0CB5050A" w14:textId="77777777" w:rsidR="00D10598" w:rsidRPr="00F667F9" w:rsidRDefault="00D10598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5 – 1.4 Að meta hugmyndir: Að koma auga á verðmæti hugmynda </w:t>
            </w:r>
          </w:p>
          <w:p w14:paraId="5AECCC48" w14:textId="77777777" w:rsidR="00D10598" w:rsidRPr="00F667F9" w:rsidRDefault="00D10598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5 – 1.4 Að meta hugmyndir: Að deila og vernda hugmyndir</w:t>
            </w:r>
          </w:p>
          <w:p w14:paraId="62F7BE82" w14:textId="77777777" w:rsidR="00D10598" w:rsidRPr="00F667F9" w:rsidRDefault="00D10598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6 – 1.5 Siðferðileg og sjálfbær hugsun</w:t>
            </w:r>
          </w:p>
          <w:p w14:paraId="40D8E4C5" w14:textId="7710FAF7" w:rsidR="00D10598" w:rsidRPr="00F667F9" w:rsidRDefault="00D10598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6 – 1.5 Siðferðileg og sjálfbær hugsun: Að meta áhrif</w:t>
            </w:r>
          </w:p>
          <w:p w14:paraId="19B497D0" w14:textId="77777777" w:rsidR="007C0F63" w:rsidRDefault="0092788A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</w:pPr>
            <w:r w:rsidRPr="00F667F9">
              <w:rPr>
                <w:rFonts w:asciiTheme="minorHAnsi" w:eastAsia="Times New Roman" w:hAnsiTheme="minorHAnsi" w:cstheme="minorHAnsi"/>
                <w:color w:val="266C9F"/>
                <w:lang w:val="sk-SK" w:eastAsia="en-GB"/>
              </w:rPr>
              <w:t>Kafli 6 – 1.5 Siðferðileg og sjálfbær hugsun: Ábyrgð</w:t>
            </w:r>
          </w:p>
          <w:p w14:paraId="372A73AB" w14:textId="291B5C67" w:rsidR="00F667F9" w:rsidRPr="00F667F9" w:rsidRDefault="00F667F9" w:rsidP="00F667F9">
            <w:pPr>
              <w:spacing w:after="0" w:line="240" w:lineRule="auto"/>
              <w:ind w:left="696"/>
              <w:rPr>
                <w:rFonts w:asciiTheme="minorHAnsi" w:eastAsia="Times New Roman" w:hAnsiTheme="minorHAnsi" w:cstheme="minorHAnsi"/>
                <w:b/>
                <w:bCs/>
                <w:color w:val="266C9F"/>
                <w:lang w:val="sk-SK" w:eastAsia="en-GB"/>
              </w:rPr>
            </w:pPr>
          </w:p>
        </w:tc>
      </w:tr>
      <w:tr w:rsidR="007C0F63" w:rsidRPr="00794F90" w14:paraId="00DF3A7A" w14:textId="77777777" w:rsidTr="00AC0BAF">
        <w:tc>
          <w:tcPr>
            <w:tcW w:w="2716" w:type="dxa"/>
            <w:shd w:val="clear" w:color="auto" w:fill="4DAE3A"/>
          </w:tcPr>
          <w:p w14:paraId="068FCAE6" w14:textId="5EACA275" w:rsidR="007C0F63" w:rsidRPr="005B737B" w:rsidRDefault="009871E1" w:rsidP="007C0F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Sjálfsmat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4D59E042" w14:textId="77777777" w:rsidR="00C15B17" w:rsidRPr="005B737B" w:rsidRDefault="00C15B17" w:rsidP="00C15B1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74EBBCE4" w14:textId="243D01EE" w:rsidR="007C0F63" w:rsidRDefault="007C0F63" w:rsidP="00CE241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1.</w:t>
            </w:r>
            <w:r w:rsidR="00794F90" w:rsidRP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proofErr w:type="gramStart"/>
            <w:r w:rsidR="00794F90" w:rsidRP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EntreComp</w:t>
            </w:r>
            <w:proofErr w:type="spellEnd"/>
            <w:r w:rsidR="00794F90" w:rsidRP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1977FE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er</w:t>
            </w:r>
            <w:proofErr w:type="gramEnd"/>
            <w:r w:rsidR="001977FE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1977FE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ram</w:t>
            </w:r>
            <w:r w:rsidR="00CE24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</w:t>
            </w:r>
            <w:r w:rsidR="001977FE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i</w:t>
            </w:r>
            <w:proofErr w:type="spellEnd"/>
            <w:r w:rsidR="001977FE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1977FE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sem</w:t>
            </w:r>
            <w:proofErr w:type="spellEnd"/>
            <w:r w:rsidR="001977FE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FE257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EU </w:t>
            </w:r>
            <w:proofErr w:type="spellStart"/>
            <w:r w:rsidR="00FE257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hefur</w:t>
            </w:r>
            <w:proofErr w:type="spellEnd"/>
            <w:r w:rsidR="00FE257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sett </w:t>
            </w:r>
            <w:proofErr w:type="spellStart"/>
            <w:r w:rsidR="00FE257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upp</w:t>
            </w:r>
            <w:proofErr w:type="spellEnd"/>
            <w:r w:rsidR="00FE257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FE257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til</w:t>
            </w:r>
            <w:proofErr w:type="spellEnd"/>
            <w:r w:rsidR="00FE257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FE257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</w:t>
            </w:r>
            <w:proofErr w:type="spellEnd"/>
            <w:r w:rsidR="00FE257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CE24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auka</w:t>
            </w:r>
            <w:proofErr w:type="spellEnd"/>
            <w:r w:rsidR="00FE257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27FB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frumkvöðlahæfni</w:t>
            </w:r>
            <w:proofErr w:type="spellEnd"/>
            <w:r w:rsidR="00827FB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í </w:t>
            </w:r>
            <w:proofErr w:type="spellStart"/>
            <w:r w:rsidR="00827FB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iðnaði</w:t>
            </w:r>
            <w:proofErr w:type="spellEnd"/>
            <w:r w:rsidR="00827FB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</w:p>
          <w:p w14:paraId="62D38313" w14:textId="637D1CA2" w:rsidR="00794F90" w:rsidRPr="00E03782" w:rsidRDefault="00426E7F" w:rsidP="00794F9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385623" w:themeColor="accent6" w:themeShade="80"/>
                <w:lang w:val="en-GB" w:eastAsia="en-GB"/>
              </w:rPr>
              <w:t>Rangt</w:t>
            </w:r>
            <w:r w:rsidR="00794F90" w:rsidRPr="00E0378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 w:rsidR="00E46A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Rétt</w:t>
            </w:r>
            <w:proofErr w:type="spellEnd"/>
          </w:p>
          <w:p w14:paraId="0283B677" w14:textId="77777777" w:rsidR="00794F90" w:rsidRPr="00E03782" w:rsidRDefault="00794F90" w:rsidP="00794F9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7BE18FD3" w14:textId="6306739F" w:rsidR="007C0F63" w:rsidRDefault="007C0F63" w:rsidP="00794F9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2.</w:t>
            </w:r>
            <w:r w:rsidR="00794F90" w:rsidRP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794F90" w:rsidRP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EntreComp</w:t>
            </w:r>
            <w:proofErr w:type="spellEnd"/>
            <w:r w:rsidR="00794F90" w:rsidRP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5946BA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er </w:t>
            </w:r>
            <w:proofErr w:type="spellStart"/>
            <w:r w:rsidR="00AD51C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evrópskur</w:t>
            </w:r>
            <w:proofErr w:type="spellEnd"/>
            <w:r w:rsidR="00AD51C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5D1BD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hæfnirammi</w:t>
            </w:r>
            <w:proofErr w:type="spellEnd"/>
            <w:r w:rsidR="00F213F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F213F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sem</w:t>
            </w:r>
            <w:proofErr w:type="spellEnd"/>
            <w:r w:rsidR="00F213F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er </w:t>
            </w:r>
            <w:proofErr w:type="spellStart"/>
            <w:r w:rsidR="00F213F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ætlað</w:t>
            </w:r>
            <w:proofErr w:type="spellEnd"/>
            <w:r w:rsidR="00F213F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F213F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</w:t>
            </w:r>
            <w:proofErr w:type="spellEnd"/>
            <w:r w:rsidR="00F213F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F213F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auka</w:t>
            </w:r>
            <w:proofErr w:type="spellEnd"/>
            <w:r w:rsidR="00F213F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50795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framtakssemi</w:t>
            </w:r>
            <w:proofErr w:type="spellEnd"/>
            <w:r w:rsidR="0050795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50795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og</w:t>
            </w:r>
            <w:proofErr w:type="spellEnd"/>
            <w:r w:rsidR="0050795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50795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frumkvöðl</w:t>
            </w:r>
            <w:r w:rsidR="0058431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</w:t>
            </w:r>
            <w:r w:rsidR="0050795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færni</w:t>
            </w:r>
            <w:proofErr w:type="spellEnd"/>
            <w:r w:rsidR="0050795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50795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allra</w:t>
            </w:r>
            <w:proofErr w:type="spellEnd"/>
            <w:r w:rsidR="0050795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50795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Evrópubúa</w:t>
            </w:r>
            <w:proofErr w:type="spellEnd"/>
            <w:r w:rsidR="0058431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. </w:t>
            </w:r>
          </w:p>
          <w:p w14:paraId="3A1658D1" w14:textId="1DF5A3C7" w:rsidR="00794F90" w:rsidRDefault="00E46ADF" w:rsidP="00794F9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385623" w:themeColor="accent6" w:themeShade="8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Rangt</w:t>
            </w:r>
            <w:r w:rsid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385623" w:themeColor="accent6" w:themeShade="80"/>
                <w:lang w:val="en-GB" w:eastAsia="en-GB"/>
              </w:rPr>
              <w:t>Rétt</w:t>
            </w:r>
            <w:proofErr w:type="spellEnd"/>
          </w:p>
          <w:p w14:paraId="7D0F2CBF" w14:textId="77777777" w:rsidR="00794F90" w:rsidRPr="00794F90" w:rsidRDefault="00794F90" w:rsidP="00794F9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2A8E67C4" w14:textId="21512A23" w:rsidR="007C0F63" w:rsidRDefault="007C0F63" w:rsidP="00794F9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3.</w:t>
            </w:r>
            <w:r w:rsidR="00794F90" w:rsidRP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58431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Tækifæri</w:t>
            </w:r>
            <w:proofErr w:type="spellEnd"/>
            <w:r w:rsidR="0058431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58431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og</w:t>
            </w:r>
            <w:proofErr w:type="spellEnd"/>
            <w:r w:rsidR="0058431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44310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áskoranir</w:t>
            </w:r>
            <w:proofErr w:type="spellEnd"/>
            <w:r w:rsidR="0044310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get</w:t>
            </w:r>
            <w:r w:rsidR="006F27A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</w:t>
            </w:r>
            <w:r w:rsidR="0044310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44310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bæði</w:t>
            </w:r>
            <w:proofErr w:type="spellEnd"/>
            <w:r w:rsidR="006F27A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6F27A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verið</w:t>
            </w:r>
            <w:proofErr w:type="spellEnd"/>
            <w:r w:rsidR="006F27A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6F27A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upphafspunktur</w:t>
            </w:r>
            <w:proofErr w:type="spellEnd"/>
            <w:r w:rsidR="00786E9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786E9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nýrrar</w:t>
            </w:r>
            <w:proofErr w:type="spellEnd"/>
            <w:r w:rsidR="00786E9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786E9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viðskiptahugmyndar</w:t>
            </w:r>
            <w:proofErr w:type="spellEnd"/>
            <w:r w:rsidR="00786E9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. </w:t>
            </w:r>
            <w:r w:rsidR="0044310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</w:p>
          <w:p w14:paraId="7DC0F2F2" w14:textId="072A942C" w:rsidR="00794F90" w:rsidRPr="00794F90" w:rsidRDefault="004A3614" w:rsidP="00794F9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Rangt</w:t>
            </w:r>
            <w:r w:rsid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385623" w:themeColor="accent6" w:themeShade="80"/>
                <w:lang w:val="en-GB" w:eastAsia="en-GB"/>
              </w:rPr>
              <w:t>Rétt</w:t>
            </w:r>
            <w:proofErr w:type="spellEnd"/>
          </w:p>
          <w:p w14:paraId="576DE359" w14:textId="77777777" w:rsidR="00794F90" w:rsidRPr="00794F90" w:rsidRDefault="00794F90" w:rsidP="00794F9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132E7D38" w14:textId="73BC122D" w:rsidR="007C0F63" w:rsidRDefault="007C0F63" w:rsidP="00794F9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4.</w:t>
            </w:r>
            <w:r w:rsidR="00794F90" w:rsidRP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Design thinking</w:t>
            </w:r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er </w:t>
            </w:r>
            <w:proofErr w:type="spellStart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aðferð</w:t>
            </w:r>
            <w:proofErr w:type="spellEnd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til</w:t>
            </w:r>
            <w:proofErr w:type="spellEnd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</w:t>
            </w:r>
            <w:proofErr w:type="spellEnd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leysa</w:t>
            </w:r>
            <w:proofErr w:type="spellEnd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vandamál</w:t>
            </w:r>
            <w:proofErr w:type="spellEnd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í </w:t>
            </w:r>
            <w:proofErr w:type="spellStart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tölvunarfræði</w:t>
            </w:r>
            <w:proofErr w:type="spellEnd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og</w:t>
            </w:r>
            <w:proofErr w:type="spellEnd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CD55D3" w:rsidRPr="00CD55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verkfræði</w:t>
            </w:r>
            <w:proofErr w:type="spellEnd"/>
          </w:p>
          <w:p w14:paraId="3CFF79B2" w14:textId="7702C0B2" w:rsidR="00794F90" w:rsidRPr="00794F90" w:rsidRDefault="004A3614" w:rsidP="00794F9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385623" w:themeColor="accent6" w:themeShade="80"/>
                <w:lang w:val="en-GB" w:eastAsia="en-GB"/>
              </w:rPr>
              <w:t>Rangt</w:t>
            </w:r>
            <w:r w:rsidR="00794F9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Rétt</w:t>
            </w:r>
            <w:proofErr w:type="spellEnd"/>
          </w:p>
          <w:p w14:paraId="797B35D1" w14:textId="77777777" w:rsidR="00794F90" w:rsidRPr="00794F90" w:rsidRDefault="00794F90" w:rsidP="00794F9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55678ED4" w14:textId="4FEF38D0" w:rsidR="007C0F63" w:rsidRPr="00794F90" w:rsidRDefault="007C0F63" w:rsidP="003601E7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</w:tc>
      </w:tr>
      <w:tr w:rsidR="007C0F63" w:rsidRPr="00CC3170" w14:paraId="37B33D15" w14:textId="77777777" w:rsidTr="00AC0BAF">
        <w:tc>
          <w:tcPr>
            <w:tcW w:w="2716" w:type="dxa"/>
            <w:shd w:val="clear" w:color="auto" w:fill="4DAE3A"/>
          </w:tcPr>
          <w:p w14:paraId="37E945EB" w14:textId="7240E579" w:rsidR="007C0F63" w:rsidRPr="00794F90" w:rsidRDefault="009871E1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Gátlisti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6089FEBA" w14:textId="238DE4D9" w:rsidR="00A94FA1" w:rsidRPr="00A94FA1" w:rsidRDefault="00A94FA1" w:rsidP="00A94F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A94FA1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Kynning á EntreComp: bakgrunnur stefnu og uppbygging</w:t>
            </w:r>
          </w:p>
          <w:p w14:paraId="28FE1B5C" w14:textId="5D1256B3" w:rsidR="00A94FA1" w:rsidRPr="00A94FA1" w:rsidRDefault="00A94FA1" w:rsidP="00A94F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A94FA1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HUGMYNDIR OG TÆKIFÆRI – ítarleg sundurliðun á hæfni sem tilheyrir þessu sérstaka þjálfunarsviði</w:t>
            </w:r>
          </w:p>
          <w:p w14:paraId="376C6094" w14:textId="30C72760" w:rsidR="00A94FA1" w:rsidRPr="00A94FA1" w:rsidRDefault="006B26AA" w:rsidP="00A94F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r w:rsidR="00A94FA1" w:rsidRPr="00A94FA1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Þræðir og </w:t>
            </w:r>
            <w:r w:rsidR="00BF5D3F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hæfniþættir </w:t>
            </w:r>
            <w:r w:rsidR="00A94FA1" w:rsidRPr="00A94FA1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fyrir HUGMYNDIR OG TÆKIFÆRI</w:t>
            </w:r>
          </w:p>
          <w:p w14:paraId="53C1E488" w14:textId="34ABA492" w:rsidR="00A94FA1" w:rsidRPr="00A94FA1" w:rsidRDefault="00A94FA1" w:rsidP="00A94F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A94FA1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EntreComp í </w:t>
            </w:r>
            <w:r w:rsidR="00BF5D3F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notkun</w:t>
            </w:r>
          </w:p>
          <w:p w14:paraId="50691C48" w14:textId="13200493" w:rsidR="00A94FA1" w:rsidRDefault="00A94FA1" w:rsidP="00A94F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 w:rsidRPr="00A94FA1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EntreComp í </w:t>
            </w:r>
            <w:r w:rsidR="00B02B63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framkvæmd</w:t>
            </w:r>
          </w:p>
          <w:p w14:paraId="4951968A" w14:textId="49505B40" w:rsidR="00665436" w:rsidRPr="00A94FA1" w:rsidRDefault="00665436" w:rsidP="00A94F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Símenntun</w:t>
            </w:r>
          </w:p>
          <w:p w14:paraId="0B2C25CF" w14:textId="238F5ACF" w:rsidR="007C0F63" w:rsidRPr="00CC3170" w:rsidRDefault="007C0F63" w:rsidP="00665436">
            <w:pPr>
              <w:pStyle w:val="Prrafodelista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7C0F63" w:rsidRPr="00A9636B" w14:paraId="6E90804A" w14:textId="77777777" w:rsidTr="00AC0BAF">
        <w:tc>
          <w:tcPr>
            <w:tcW w:w="2716" w:type="dxa"/>
            <w:shd w:val="clear" w:color="auto" w:fill="4DAE3A"/>
          </w:tcPr>
          <w:p w14:paraId="3FF7D2CD" w14:textId="77777777" w:rsidR="00810E60" w:rsidRDefault="00810E60" w:rsidP="00810E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Style w:val="normaltextrun"/>
                <w:rFonts w:cs="Calibri"/>
                <w:b/>
                <w:bCs/>
                <w:color w:val="FFFFFF"/>
              </w:rPr>
              <w:t>Gögn (myndbönd, hlekkir) </w:t>
            </w:r>
            <w:r>
              <w:rPr>
                <w:rStyle w:val="eop"/>
                <w:rFonts w:cs="Calibri"/>
                <w:color w:val="FFFFFF"/>
              </w:rPr>
              <w:t> </w:t>
            </w:r>
          </w:p>
          <w:p w14:paraId="1FB68D90" w14:textId="3E14BEA5" w:rsidR="00810E60" w:rsidRPr="00A9636B" w:rsidRDefault="00810E60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39618DFA" w14:textId="310BA9C8" w:rsidR="007C0F63" w:rsidRPr="00A9636B" w:rsidRDefault="00C44157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>na</w:t>
            </w:r>
          </w:p>
        </w:tc>
      </w:tr>
      <w:tr w:rsidR="00852C7A" w:rsidRPr="00E03782" w14:paraId="48E6DD7D" w14:textId="77777777" w:rsidTr="00AC0BAF">
        <w:trPr>
          <w:trHeight w:val="272"/>
        </w:trPr>
        <w:tc>
          <w:tcPr>
            <w:tcW w:w="2716" w:type="dxa"/>
            <w:vMerge w:val="restart"/>
            <w:shd w:val="clear" w:color="auto" w:fill="4DAE3A"/>
          </w:tcPr>
          <w:p w14:paraId="1D044980" w14:textId="77777777" w:rsidR="00810E60" w:rsidRDefault="00810E60" w:rsidP="00810E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>Dæmisaga</w:t>
            </w:r>
            <w:proofErr w:type="spellEnd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>/</w:t>
            </w:r>
            <w:proofErr w:type="spellStart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>góðar</w:t>
            </w:r>
            <w:proofErr w:type="spellEnd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>starfsvenjur</w:t>
            </w:r>
            <w:proofErr w:type="spellEnd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>/</w:t>
            </w:r>
            <w:proofErr w:type="spellStart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>vitnisburður</w:t>
            </w:r>
            <w:proofErr w:type="spellEnd"/>
            <w:r>
              <w:rPr>
                <w:rStyle w:val="eop"/>
                <w:rFonts w:cs="Calibri"/>
                <w:color w:val="FFFFFF"/>
              </w:rPr>
              <w:t> </w:t>
            </w:r>
          </w:p>
          <w:p w14:paraId="190888F9" w14:textId="77777777" w:rsidR="00810E60" w:rsidRDefault="00810E60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  <w:p w14:paraId="11193AB8" w14:textId="398AA8BC" w:rsidR="00852C7A" w:rsidRPr="00A9636B" w:rsidRDefault="00852C7A" w:rsidP="007C0F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1957" w:type="dxa"/>
            <w:shd w:val="clear" w:color="auto" w:fill="266C9F"/>
          </w:tcPr>
          <w:p w14:paraId="492E00D5" w14:textId="594B8A60" w:rsidR="00852C7A" w:rsidRPr="00A9636B" w:rsidRDefault="00006385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Titill</w:t>
            </w:r>
            <w:r w:rsidR="00852C7A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ab/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0FEE6D61" w14:textId="6FA81242" w:rsidR="00852C7A" w:rsidRPr="00A9636B" w:rsidRDefault="00073B48" w:rsidP="00246E2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073B48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Pluggable Social Platform for Heritage Awareness and Participatio</w:t>
            </w:r>
            <w:r w:rsidR="0016247D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n</w:t>
            </w:r>
            <w:r w:rsidRPr="00073B48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(PLUGGY)</w:t>
            </w:r>
          </w:p>
        </w:tc>
      </w:tr>
      <w:tr w:rsidR="00852C7A" w:rsidRPr="00E03782" w14:paraId="30AA8ED9" w14:textId="77777777" w:rsidTr="044C870D">
        <w:trPr>
          <w:trHeight w:val="272"/>
        </w:trPr>
        <w:tc>
          <w:tcPr>
            <w:tcW w:w="2716" w:type="dxa"/>
            <w:vMerge/>
          </w:tcPr>
          <w:p w14:paraId="17CC5EE6" w14:textId="77777777" w:rsidR="00852C7A" w:rsidRPr="00A9636B" w:rsidRDefault="00852C7A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7473EFB6" w14:textId="5D204181" w:rsidR="00852C7A" w:rsidRPr="00A9636B" w:rsidRDefault="00006385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Lýsing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046E039C" w14:textId="78EAA647" w:rsidR="00F3209E" w:rsidRPr="009958FC" w:rsidRDefault="354DD4FE" w:rsidP="005333E2">
            <w:pPr>
              <w:spacing w:line="257" w:lineRule="auto"/>
              <w:rPr>
                <w:i/>
                <w:color w:val="002060"/>
                <w:sz w:val="18"/>
                <w:szCs w:val="18"/>
                <w:lang w:val="en-US"/>
              </w:rPr>
            </w:pPr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Pluggable Social Platform for Heritage Awareness and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Participatio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(PLUGGY)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mun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styð</w:t>
            </w:r>
            <w:r w:rsidR="00892D63" w:rsidRPr="009958FC">
              <w:rPr>
                <w:i/>
                <w:color w:val="002060"/>
                <w:sz w:val="18"/>
                <w:szCs w:val="18"/>
                <w:lang w:val="en-US"/>
              </w:rPr>
              <w:t>ur</w:t>
            </w:r>
            <w:proofErr w:type="spellEnd"/>
            <w:r w:rsidR="00892D63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D63" w:rsidRPr="009958FC">
              <w:rPr>
                <w:i/>
                <w:color w:val="002060"/>
                <w:sz w:val="18"/>
                <w:szCs w:val="18"/>
                <w:lang w:val="en-US"/>
              </w:rPr>
              <w:t>við</w:t>
            </w:r>
            <w:proofErr w:type="spellEnd"/>
            <w:r w:rsidR="00892D63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D63" w:rsidRPr="009958FC">
              <w:rPr>
                <w:i/>
                <w:color w:val="002060"/>
                <w:sz w:val="18"/>
                <w:szCs w:val="18"/>
                <w:lang w:val="en-US"/>
              </w:rPr>
              <w:t>miðlun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menningararf</w:t>
            </w:r>
            <w:r w:rsidR="00892D63" w:rsidRPr="009958FC">
              <w:rPr>
                <w:i/>
                <w:color w:val="002060"/>
                <w:sz w:val="18"/>
                <w:szCs w:val="18"/>
                <w:lang w:val="en-US"/>
              </w:rPr>
              <w:t>s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. PLUGGY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gerir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fólki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kleift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deila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þekkingu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reynslu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með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öðrum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Þátttaka</w:t>
            </w:r>
            <w:proofErr w:type="spellEnd"/>
            <w:r w:rsidR="00983C7D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felur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í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sér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framlag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menningarstofnana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stafrænna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bókasafna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F6AC3" w:rsidRPr="009958FC">
              <w:rPr>
                <w:i/>
                <w:color w:val="002060"/>
                <w:sz w:val="18"/>
                <w:szCs w:val="18"/>
                <w:lang w:val="en-US"/>
              </w:rPr>
              <w:t>að</w:t>
            </w:r>
            <w:proofErr w:type="spellEnd"/>
            <w:r w:rsidR="002F6AC3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byggja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upp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víðfeðmt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tengslanet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í </w:t>
            </w:r>
            <w:proofErr w:type="spellStart"/>
            <w:r w:rsidR="00B5211C" w:rsidRPr="009958FC">
              <w:rPr>
                <w:i/>
                <w:color w:val="002060"/>
                <w:sz w:val="18"/>
                <w:szCs w:val="18"/>
                <w:lang w:val="en-US"/>
              </w:rPr>
              <w:t>tengslum</w:t>
            </w:r>
            <w:proofErr w:type="spellEnd"/>
            <w:r w:rsidR="00B5211C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211C" w:rsidRPr="009958FC">
              <w:rPr>
                <w:i/>
                <w:color w:val="002060"/>
                <w:sz w:val="18"/>
                <w:szCs w:val="18"/>
                <w:lang w:val="en-US"/>
              </w:rPr>
              <w:t>við</w:t>
            </w:r>
            <w:proofErr w:type="spellEnd"/>
            <w:r w:rsidR="00B5211C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sameiginlegt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áhugamál</w:t>
            </w:r>
            <w:proofErr w:type="spellEnd"/>
            <w:r w:rsidR="001B5CAA" w:rsidRPr="009958FC">
              <w:rPr>
                <w:i/>
                <w:color w:val="002060"/>
                <w:sz w:val="18"/>
                <w:szCs w:val="18"/>
                <w:lang w:val="en-US"/>
              </w:rPr>
              <w:t>,</w:t>
            </w:r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tengja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saman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fortíð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nútíð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framtíð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.</w:t>
            </w:r>
          </w:p>
          <w:p w14:paraId="4A33BD72" w14:textId="51A2A45F" w:rsidR="00F3209E" w:rsidRPr="009958FC" w:rsidRDefault="354DD4FE" w:rsidP="000B3F42">
            <w:pPr>
              <w:spacing w:line="257" w:lineRule="auto"/>
              <w:rPr>
                <w:i/>
                <w:color w:val="002060"/>
                <w:sz w:val="18"/>
                <w:szCs w:val="18"/>
                <w:lang w:val="en-US"/>
              </w:rPr>
            </w:pPr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PLUGGY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vettvangurinn</w:t>
            </w:r>
            <w:proofErr w:type="spellEnd"/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auðvelda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áframhaldandi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>vinnu</w:t>
            </w:r>
            <w:proofErr w:type="spellEnd"/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>við</w:t>
            </w:r>
            <w:proofErr w:type="spellEnd"/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>að</w:t>
            </w:r>
            <w:proofErr w:type="spellEnd"/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skapa</w:t>
            </w:r>
            <w:proofErr w:type="spellEnd"/>
            <w:proofErr w:type="gram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breyta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standa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vörð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arfleifð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þar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sem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>almenningur</w:t>
            </w:r>
            <w:proofErr w:type="spellEnd"/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>tekur</w:t>
            </w:r>
            <w:proofErr w:type="spellEnd"/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>þátt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viðh</w:t>
            </w:r>
            <w:r w:rsidR="00FB4679" w:rsidRPr="009958FC">
              <w:rPr>
                <w:i/>
                <w:color w:val="002060"/>
                <w:sz w:val="18"/>
                <w:szCs w:val="18"/>
                <w:lang w:val="en-US"/>
              </w:rPr>
              <w:t>eldur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menningarstarfsemi</w:t>
            </w:r>
            <w:proofErr w:type="spellEnd"/>
            <w:r w:rsidR="0057788E" w:rsidRPr="009958FC">
              <w:rPr>
                <w:i/>
                <w:color w:val="002060"/>
                <w:sz w:val="18"/>
                <w:szCs w:val="18"/>
                <w:lang w:val="en-US"/>
              </w:rPr>
              <w:t>.</w:t>
            </w:r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Notendur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PLUGGY Social Platform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munu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setja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inn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sögur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með því að nota PLUGGY Curatorial Tool.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Efni</w:t>
            </w:r>
            <w:r w:rsidR="006761DB" w:rsidRPr="009958FC">
              <w:rPr>
                <w:i/>
                <w:color w:val="002060"/>
                <w:sz w:val="18"/>
                <w:szCs w:val="18"/>
                <w:lang w:val="en-US"/>
              </w:rPr>
              <w:t>ð</w:t>
            </w:r>
            <w:proofErr w:type="spellEnd"/>
            <w:r w:rsidR="006761DB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61DB" w:rsidRPr="009958FC">
              <w:rPr>
                <w:i/>
                <w:color w:val="002060"/>
                <w:sz w:val="18"/>
                <w:szCs w:val="18"/>
                <w:lang w:val="en-US"/>
              </w:rPr>
              <w:t>verður</w:t>
            </w:r>
            <w:proofErr w:type="spellEnd"/>
            <w:r w:rsidR="006761DB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61DB" w:rsidRPr="009958FC">
              <w:rPr>
                <w:i/>
                <w:color w:val="002060"/>
                <w:sz w:val="18"/>
                <w:szCs w:val="18"/>
                <w:lang w:val="en-US"/>
              </w:rPr>
              <w:t>tekið</w:t>
            </w:r>
            <w:proofErr w:type="spellEnd"/>
            <w:r w:rsidR="006761DB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saman</w:t>
            </w:r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sótt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úr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stafrænum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söfnum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sem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gerir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notendum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kleift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búa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til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tengsl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á milli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staðreynda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atburða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fólks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stafrænna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safna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sem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virðast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ótengdar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sem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leiðir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til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nýrra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aðferða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við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kynna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menningarauðlindir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nýjar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leiðir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til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upplifa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þær.</w:t>
            </w:r>
          </w:p>
          <w:p w14:paraId="16615FF2" w14:textId="71BA4B8B" w:rsidR="00F3209E" w:rsidRPr="001951B7" w:rsidRDefault="354DD4FE" w:rsidP="00276F52">
            <w:pPr>
              <w:spacing w:line="257" w:lineRule="auto"/>
              <w:rPr>
                <w:i/>
                <w:color w:val="002060"/>
                <w:sz w:val="14"/>
                <w:szCs w:val="14"/>
                <w:lang w:val="en-US"/>
              </w:rPr>
            </w:pPr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PLUGGY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hópurinn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spannar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5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lönd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inniheldur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samstarfsaðila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(ICCS, TUK, UMA, ICL),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samtals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söfn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(PIOP, ESM)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lítil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meðalstór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fyrirtæki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(CLIO, VIA, XTS) á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sviði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menningararfs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skapandi</w:t>
            </w:r>
            <w:proofErr w:type="spellEnd"/>
            <w:r w:rsidR="00B27958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7958" w:rsidRPr="009958FC">
              <w:rPr>
                <w:i/>
                <w:color w:val="002060"/>
                <w:sz w:val="18"/>
                <w:szCs w:val="18"/>
                <w:lang w:val="en-US"/>
              </w:rPr>
              <w:t>greina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Þau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ná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yfir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svið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menningararfs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76F52" w:rsidRPr="009958FC">
              <w:rPr>
                <w:i/>
                <w:color w:val="002060"/>
                <w:sz w:val="18"/>
                <w:szCs w:val="18"/>
                <w:lang w:val="en-US"/>
              </w:rPr>
              <w:t>vettvang</w:t>
            </w:r>
            <w:proofErr w:type="spellEnd"/>
            <w:r w:rsidR="00276F52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76F52" w:rsidRPr="009958FC">
              <w:rPr>
                <w:i/>
                <w:color w:val="002060"/>
                <w:sz w:val="18"/>
                <w:szCs w:val="18"/>
                <w:lang w:val="en-US"/>
              </w:rPr>
              <w:t>samskipta</w:t>
            </w:r>
            <w:proofErr w:type="spellEnd"/>
            <w:r w:rsidR="00276F52"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(social platform)</w:t>
            </w:r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höfundar</w:t>
            </w:r>
            <w:r w:rsidR="008648BD" w:rsidRPr="009958FC">
              <w:rPr>
                <w:i/>
                <w:color w:val="002060"/>
                <w:sz w:val="18"/>
                <w:szCs w:val="18"/>
                <w:lang w:val="en-US"/>
              </w:rPr>
              <w:t>tól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, VR/AR,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þekkingarstjórnunar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merkingarfræði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þrívíddarhljóðs</w:t>
            </w:r>
            <w:proofErr w:type="spellEnd"/>
            <w:r w:rsidRPr="009958FC">
              <w:rPr>
                <w:i/>
                <w:color w:val="002060"/>
                <w:sz w:val="18"/>
                <w:szCs w:val="18"/>
                <w:lang w:val="en-US"/>
              </w:rPr>
              <w:t>.</w:t>
            </w:r>
          </w:p>
        </w:tc>
      </w:tr>
      <w:tr w:rsidR="00852C7A" w:rsidRPr="00E03782" w14:paraId="0DED46E9" w14:textId="77777777" w:rsidTr="044C870D">
        <w:trPr>
          <w:trHeight w:val="533"/>
        </w:trPr>
        <w:tc>
          <w:tcPr>
            <w:tcW w:w="2716" w:type="dxa"/>
            <w:vMerge/>
          </w:tcPr>
          <w:p w14:paraId="1A36DCB2" w14:textId="77777777" w:rsidR="00852C7A" w:rsidRPr="00A9636B" w:rsidRDefault="00852C7A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5690F203" w14:textId="235AF5E1" w:rsidR="00852C7A" w:rsidRPr="00A9636B" w:rsidRDefault="00006385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Hlekkur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45BD658A" w14:textId="6F9B9565" w:rsidR="00852C7A" w:rsidRPr="00A9636B" w:rsidRDefault="00EB3564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hyperlink r:id="rId9" w:history="1">
              <w:r w:rsidR="006E7523" w:rsidRPr="00981B79">
                <w:rPr>
                  <w:rStyle w:val="Hipervnculo"/>
                  <w:rFonts w:asciiTheme="minorHAnsi" w:hAnsiTheme="minorHAnsi" w:cstheme="minorHAnsi"/>
                  <w:lang w:val="en-US"/>
                </w:rPr>
                <w:t>https://cordis.europa.eu/project/id/726765</w:t>
              </w:r>
            </w:hyperlink>
            <w:r w:rsidR="006E7523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</w:p>
        </w:tc>
      </w:tr>
      <w:tr w:rsidR="00E03782" w:rsidRPr="00E03782" w14:paraId="1028B2CD" w14:textId="77777777" w:rsidTr="00F3209E">
        <w:trPr>
          <w:trHeight w:val="533"/>
        </w:trPr>
        <w:tc>
          <w:tcPr>
            <w:tcW w:w="2716" w:type="dxa"/>
            <w:vMerge w:val="restart"/>
            <w:shd w:val="clear" w:color="auto" w:fill="4DAE3A"/>
          </w:tcPr>
          <w:p w14:paraId="0B9F65F4" w14:textId="77777777" w:rsidR="00810E60" w:rsidRDefault="00810E60" w:rsidP="00810E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>Dæmisaga</w:t>
            </w:r>
            <w:proofErr w:type="spellEnd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>/</w:t>
            </w:r>
            <w:proofErr w:type="spellStart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>góðar</w:t>
            </w:r>
            <w:proofErr w:type="spellEnd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>starfsvenjur</w:t>
            </w:r>
            <w:proofErr w:type="spellEnd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>/</w:t>
            </w:r>
            <w:proofErr w:type="spellStart"/>
            <w:r>
              <w:rPr>
                <w:rStyle w:val="normaltextrun"/>
                <w:rFonts w:cs="Calibri"/>
                <w:b/>
                <w:bCs/>
                <w:color w:val="FFFFFF"/>
                <w:lang w:val="en-US"/>
              </w:rPr>
              <w:t>vitnisburður</w:t>
            </w:r>
            <w:proofErr w:type="spellEnd"/>
            <w:r>
              <w:rPr>
                <w:rStyle w:val="eop"/>
                <w:rFonts w:cs="Calibri"/>
                <w:color w:val="FFFFFF"/>
              </w:rPr>
              <w:t> </w:t>
            </w:r>
          </w:p>
          <w:p w14:paraId="25A93ACA" w14:textId="45A8343D" w:rsidR="00E03782" w:rsidRPr="00A9636B" w:rsidRDefault="00810E60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lastRenderedPageBreak/>
              <w:t>Nr.2</w:t>
            </w:r>
          </w:p>
        </w:tc>
        <w:tc>
          <w:tcPr>
            <w:tcW w:w="1957" w:type="dxa"/>
            <w:shd w:val="clear" w:color="auto" w:fill="266C9F"/>
          </w:tcPr>
          <w:p w14:paraId="68410E27" w14:textId="079B7444" w:rsidR="00E03782" w:rsidRPr="00A9636B" w:rsidRDefault="00006385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lastRenderedPageBreak/>
              <w:t>Titill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22C8E5E8" w14:textId="7BC8194A" w:rsidR="00E03782" w:rsidRPr="00E03782" w:rsidRDefault="00E03782" w:rsidP="00852C7A">
            <w:pPr>
              <w:tabs>
                <w:tab w:val="left" w:pos="3516"/>
              </w:tabs>
              <w:rPr>
                <w:lang w:val="en-US"/>
              </w:rPr>
            </w:pPr>
            <w:r w:rsidRPr="00E03782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Emotive Virtual cultural Experiences through personalized storytelling</w:t>
            </w:r>
          </w:p>
        </w:tc>
      </w:tr>
      <w:tr w:rsidR="00E03782" w:rsidRPr="00E03782" w14:paraId="71BD9F68" w14:textId="77777777" w:rsidTr="044C870D">
        <w:trPr>
          <w:trHeight w:val="533"/>
        </w:trPr>
        <w:tc>
          <w:tcPr>
            <w:tcW w:w="2716" w:type="dxa"/>
            <w:vMerge/>
          </w:tcPr>
          <w:p w14:paraId="7D27076B" w14:textId="77777777" w:rsidR="00E03782" w:rsidRPr="00A9636B" w:rsidRDefault="00E03782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5D548E14" w14:textId="7173554B" w:rsidR="00E03782" w:rsidRPr="00A9636B" w:rsidRDefault="00006385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Lýsing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71F3076E" w14:textId="56A39974" w:rsidR="006A21D6" w:rsidRPr="009958FC" w:rsidRDefault="006A21D6" w:rsidP="006A21D6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Frásagnarlist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eða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sagnamennska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á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næstum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allt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gerum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Allir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segja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sögur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Það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á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einnig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kennara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markaðsfólks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stjórnmálamenn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blaðamenn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0E1CF9"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Sögur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eru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sagðar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m.a.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upplýsa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sannfæra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skemmta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hvetja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eða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veita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innblástur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Í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samhengi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menningararfs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frásagnarlist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hins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82B8B"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vegar</w:t>
            </w:r>
            <w:proofErr w:type="spellEnd"/>
            <w:r w:rsidR="00E82B8B"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A2309"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einnig</w:t>
            </w:r>
            <w:proofErr w:type="spellEnd"/>
            <w:r w:rsidR="008A2309"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notuð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aðferð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miðla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almennings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niðurstöðum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rannsóknum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gerðar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eru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fræðimönnum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menningarsvæði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eða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menningarf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.</w:t>
            </w:r>
          </w:p>
          <w:p w14:paraId="0FDB7900" w14:textId="21646378" w:rsidR="00E03782" w:rsidRPr="004E7806" w:rsidRDefault="006A21D6" w:rsidP="00E03782">
            <w:pPr>
              <w:tabs>
                <w:tab w:val="left" w:pos="3516"/>
              </w:tabs>
              <w:jc w:val="both"/>
              <w:rPr>
                <w:rFonts w:asciiTheme="minorHAnsi" w:hAnsiTheme="minorHAnsi" w:cstheme="minorHAnsi"/>
                <w:i/>
                <w:color w:val="1F3864" w:themeColor="accent1" w:themeShade="80"/>
                <w:sz w:val="14"/>
                <w:szCs w:val="14"/>
                <w:lang w:val="en-US"/>
              </w:rPr>
            </w:pP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Meginmarkmið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EMOTIVE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verkefnisins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rannsaka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hanna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þróa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meta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aðferðir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verkfæri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geta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stutt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menningar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skapandi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starfsemi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búa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sýndarsöfn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Sýndarsöfn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sem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nýta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kraftinn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í „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góðri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sögu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Þar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frásagnarlist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notuð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vekja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athygli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gesta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kveikja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tilfinningar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þeirra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tengja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þá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fólk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allan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heim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auka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skilning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þeirra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ímyndunarafl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lokum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upplifun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þeirra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af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menningarsvæðum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og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73792"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menningar</w:t>
            </w:r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efni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. EMOTIVE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verkefnið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vinnur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því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gera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þetta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því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bjóða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fólki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í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menningargeiranum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leiðir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að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búa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til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hágæða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gagnvirkar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persónulegar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stafrænar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sögur</w:t>
            </w:r>
            <w:proofErr w:type="spellEnd"/>
            <w:r w:rsidRPr="009958FC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  <w:lang w:val="en-US"/>
              </w:rPr>
              <w:t>.</w:t>
            </w:r>
          </w:p>
        </w:tc>
      </w:tr>
      <w:tr w:rsidR="00E03782" w:rsidRPr="00E03782" w14:paraId="4A7A2CA0" w14:textId="77777777" w:rsidTr="044C870D">
        <w:trPr>
          <w:trHeight w:val="533"/>
        </w:trPr>
        <w:tc>
          <w:tcPr>
            <w:tcW w:w="2716" w:type="dxa"/>
            <w:vMerge/>
          </w:tcPr>
          <w:p w14:paraId="53748E8A" w14:textId="77777777" w:rsidR="00E03782" w:rsidRPr="00A9636B" w:rsidRDefault="00E03782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398D3679" w14:textId="39BD6715" w:rsidR="00E03782" w:rsidRPr="00A9636B" w:rsidRDefault="00006385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Heimild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796FA0D6" w14:textId="162BC517" w:rsidR="00E03782" w:rsidRPr="00E03782" w:rsidRDefault="00EB3564" w:rsidP="00852C7A">
            <w:pPr>
              <w:tabs>
                <w:tab w:val="left" w:pos="3516"/>
              </w:tabs>
              <w:rPr>
                <w:lang w:val="en-US"/>
              </w:rPr>
            </w:pPr>
            <w:hyperlink r:id="rId10" w:history="1">
              <w:r w:rsidR="00E03782" w:rsidRPr="00501C18">
                <w:rPr>
                  <w:rStyle w:val="Hipervnculo"/>
                  <w:lang w:val="en-US"/>
                </w:rPr>
                <w:t>https://cordis.europa.eu/project/id/727188</w:t>
              </w:r>
            </w:hyperlink>
            <w:r w:rsidR="00E03782">
              <w:rPr>
                <w:lang w:val="en-US"/>
              </w:rPr>
              <w:t xml:space="preserve"> </w:t>
            </w:r>
          </w:p>
        </w:tc>
      </w:tr>
      <w:tr w:rsidR="007C0F63" w:rsidRPr="00A9636B" w14:paraId="3096AA6D" w14:textId="77777777" w:rsidTr="00AC0BAF">
        <w:tc>
          <w:tcPr>
            <w:tcW w:w="2716" w:type="dxa"/>
            <w:shd w:val="clear" w:color="auto" w:fill="4DAE3A"/>
          </w:tcPr>
          <w:p w14:paraId="38969A3C" w14:textId="6327721F" w:rsidR="007C0F63" w:rsidRPr="00A9636B" w:rsidRDefault="00DB1E4D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Tungumál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04A7B350" w14:textId="54E207D4" w:rsidR="007C0F63" w:rsidRPr="00A9636B" w:rsidRDefault="00DB1E4D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>Íslenska</w:t>
            </w:r>
          </w:p>
        </w:tc>
      </w:tr>
      <w:tr w:rsidR="009A5626" w:rsidRPr="00E03782" w14:paraId="12441977" w14:textId="77777777" w:rsidTr="00AC0BAF">
        <w:trPr>
          <w:trHeight w:val="48"/>
        </w:trPr>
        <w:tc>
          <w:tcPr>
            <w:tcW w:w="2716" w:type="dxa"/>
            <w:vMerge w:val="restart"/>
            <w:shd w:val="clear" w:color="auto" w:fill="4DAE3A"/>
            <w:vAlign w:val="center"/>
          </w:tcPr>
          <w:p w14:paraId="7D96E38B" w14:textId="23516575" w:rsidR="00C15B17" w:rsidRPr="00A9636B" w:rsidRDefault="00DB1E4D" w:rsidP="00C15B17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Viðfangsefni</w:t>
            </w:r>
            <w:proofErr w:type="spellEnd"/>
          </w:p>
          <w:p w14:paraId="069D2A4B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14C3F9F7" w14:textId="0B4B963E" w:rsidR="009A5626" w:rsidRPr="00A9636B" w:rsidRDefault="00F37AF7" w:rsidP="00F37AF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“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Hvað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,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hvar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og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hvernig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”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óáþreifanleg</w:t>
            </w:r>
            <w:r>
              <w:rPr>
                <w:rFonts w:asciiTheme="minorHAnsi" w:hAnsiTheme="minorHAnsi" w:cstheme="minorHAnsi"/>
                <w:color w:val="266C9F"/>
                <w:lang w:val="en-GB"/>
              </w:rPr>
              <w:t>s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menningararf</w:t>
            </w:r>
            <w:r>
              <w:rPr>
                <w:rFonts w:asciiTheme="minorHAnsi" w:hAnsiTheme="minorHAnsi" w:cstheme="minorHAnsi"/>
                <w:color w:val="266C9F"/>
                <w:lang w:val="en-GB"/>
              </w:rPr>
              <w:t>s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: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Að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skilja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fimm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svið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óáþreifanlegs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menningararfs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,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birtingarmyndir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og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framsetningu</w:t>
            </w:r>
            <w:proofErr w:type="spellEnd"/>
            <w:r w:rsidRPr="00F37AF7">
              <w:rPr>
                <w:rFonts w:asciiTheme="minorHAnsi" w:hAnsiTheme="minorHAnsi" w:cstheme="minorHAnsi"/>
                <w:color w:val="266C9F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266C9F"/>
          </w:tcPr>
          <w:p w14:paraId="566C429B" w14:textId="174031D2" w:rsidR="009A5626" w:rsidRPr="00A9636B" w:rsidRDefault="009A5626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38E66D0F" w14:textId="77777777" w:rsidTr="044C870D">
        <w:trPr>
          <w:trHeight w:val="48"/>
        </w:trPr>
        <w:tc>
          <w:tcPr>
            <w:tcW w:w="2716" w:type="dxa"/>
            <w:vMerge/>
            <w:vAlign w:val="center"/>
          </w:tcPr>
          <w:p w14:paraId="3FE480F6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37F95143" w14:textId="77777777" w:rsidR="009A5626" w:rsidRDefault="00AC57D3" w:rsidP="00AC57D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Segoe UI" w:hAnsi="Segoe UI" w:cs="Segoe UI"/>
                <w:color w:val="266C9F"/>
                <w:shd w:val="clear" w:color="auto" w:fill="FFFFFF"/>
              </w:rPr>
              <w:t>Lykilatriði verndunar óáþreifanlegs menningararfs</w:t>
            </w:r>
          </w:p>
          <w:p w14:paraId="75F6C714" w14:textId="0C3A69CB" w:rsidR="00AC57D3" w:rsidRPr="00AC57D3" w:rsidRDefault="00AC57D3" w:rsidP="00AC57D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67" w:type="dxa"/>
            <w:shd w:val="clear" w:color="auto" w:fill="266C9F"/>
          </w:tcPr>
          <w:p w14:paraId="3C342E71" w14:textId="592184F6" w:rsidR="009A5626" w:rsidRPr="00A9636B" w:rsidRDefault="009A5626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E03782" w14:paraId="3AC945DF" w14:textId="77777777" w:rsidTr="044C870D">
        <w:trPr>
          <w:trHeight w:val="48"/>
        </w:trPr>
        <w:tc>
          <w:tcPr>
            <w:tcW w:w="2716" w:type="dxa"/>
            <w:vMerge/>
            <w:vAlign w:val="center"/>
          </w:tcPr>
          <w:p w14:paraId="7AF2A147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2353DD01" w14:textId="77777777" w:rsidR="0050484D" w:rsidRDefault="0050484D" w:rsidP="0050484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Segoe UI" w:hAnsi="Segoe UI" w:cs="Segoe UI"/>
                <w:color w:val="266C9F"/>
                <w:shd w:val="clear" w:color="auto" w:fill="FFFFFF"/>
              </w:rPr>
              <w:t>Að opna á félags-efnahagslega möguleika óáþreifanlegs menningararfs: Hvernig á að nýta óefnislega þætti.</w:t>
            </w:r>
          </w:p>
          <w:p w14:paraId="468E38B0" w14:textId="77777777" w:rsidR="009A5626" w:rsidRPr="00A9636B" w:rsidRDefault="009A5626" w:rsidP="0050484D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49220FE9" w14:textId="0541C0CD" w:rsidR="009A5626" w:rsidRPr="00A9636B" w:rsidRDefault="009A5626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33E457F4" w14:textId="77777777" w:rsidTr="044C870D">
        <w:trPr>
          <w:trHeight w:val="48"/>
        </w:trPr>
        <w:tc>
          <w:tcPr>
            <w:tcW w:w="2716" w:type="dxa"/>
            <w:vMerge/>
            <w:vAlign w:val="center"/>
          </w:tcPr>
          <w:p w14:paraId="568A48E3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57034FB5" w14:textId="77777777" w:rsidR="00CD60A8" w:rsidRDefault="00CD60A8" w:rsidP="00CD60A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Segoe UI" w:hAnsi="Segoe UI" w:cs="Segoe UI"/>
                <w:color w:val="266C9F"/>
                <w:shd w:val="clear" w:color="auto" w:fill="FFFFFF"/>
              </w:rPr>
              <w:t>Samskipti og þekkingarmiðlun</w:t>
            </w:r>
          </w:p>
          <w:p w14:paraId="6BE32CFC" w14:textId="77777777" w:rsidR="009A5626" w:rsidRPr="00A9636B" w:rsidRDefault="009A5626" w:rsidP="00CD60A8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121B143E" w14:textId="2E722431" w:rsidR="009A5626" w:rsidRPr="00A9636B" w:rsidRDefault="009A5626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598A5102" w14:textId="77777777" w:rsidTr="044C870D">
        <w:trPr>
          <w:trHeight w:val="48"/>
        </w:trPr>
        <w:tc>
          <w:tcPr>
            <w:tcW w:w="2716" w:type="dxa"/>
            <w:vMerge/>
            <w:vAlign w:val="center"/>
          </w:tcPr>
          <w:p w14:paraId="5A0F05C7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6AA52ECA" w14:textId="77777777" w:rsidR="005F18AA" w:rsidRDefault="005F18AA" w:rsidP="005F18AA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Segoe UI" w:hAnsi="Segoe UI" w:cs="Segoe UI"/>
                <w:color w:val="266C9F"/>
                <w:shd w:val="clear" w:color="auto" w:fill="FFFFFF"/>
              </w:rPr>
              <w:t>Fjármála- og stjórnunarhæfni</w:t>
            </w:r>
          </w:p>
          <w:p w14:paraId="502ECCC3" w14:textId="77777777" w:rsidR="009A5626" w:rsidRPr="005F18AA" w:rsidRDefault="009A5626" w:rsidP="005F18AA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0D5D90D7" w14:textId="6B8B0AEB" w:rsidR="009A5626" w:rsidRPr="00A9636B" w:rsidRDefault="009A5626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5B737B" w14:paraId="5B7D6780" w14:textId="77777777" w:rsidTr="044C870D">
        <w:trPr>
          <w:trHeight w:val="48"/>
        </w:trPr>
        <w:tc>
          <w:tcPr>
            <w:tcW w:w="2716" w:type="dxa"/>
            <w:vMerge/>
            <w:vAlign w:val="center"/>
          </w:tcPr>
          <w:p w14:paraId="2A52AFD1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2EC10718" w14:textId="77777777" w:rsidR="009B3595" w:rsidRDefault="009B3595" w:rsidP="009B3595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Segoe UI" w:hAnsi="Segoe UI" w:cs="Segoe UI"/>
                <w:color w:val="266C9F"/>
                <w:shd w:val="clear" w:color="auto" w:fill="FFFFFF"/>
              </w:rPr>
              <w:t>Stefnumótun, hugsun til framtíðar, sameiginleg forysta</w:t>
            </w:r>
          </w:p>
          <w:p w14:paraId="6770C038" w14:textId="77777777" w:rsidR="009A5626" w:rsidRPr="00A9636B" w:rsidRDefault="009A5626" w:rsidP="009B3595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412FA298" w14:textId="3957F2D4" w:rsidR="00C44157" w:rsidRDefault="00C44157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en-GB"/>
              </w:rPr>
              <w:t>X</w:t>
            </w:r>
          </w:p>
          <w:p w14:paraId="7E0B7D89" w14:textId="19DBFEC3" w:rsidR="009A5626" w:rsidRPr="00C44157" w:rsidRDefault="00C44157" w:rsidP="00C44157">
            <w:pPr>
              <w:rPr>
                <w:lang w:val="en-GB"/>
              </w:rPr>
            </w:pPr>
            <w:r w:rsidRPr="00C44157">
              <w:rPr>
                <w:color w:val="FFFFFF" w:themeColor="background1"/>
                <w:lang w:val="en-GB"/>
              </w:rPr>
              <w:t>X</w:t>
            </w:r>
          </w:p>
        </w:tc>
      </w:tr>
      <w:tr w:rsidR="009A5626" w:rsidRPr="00A9636B" w14:paraId="6C5395F8" w14:textId="77777777" w:rsidTr="044C870D">
        <w:trPr>
          <w:trHeight w:val="48"/>
        </w:trPr>
        <w:tc>
          <w:tcPr>
            <w:tcW w:w="2716" w:type="dxa"/>
            <w:vMerge/>
            <w:vAlign w:val="center"/>
          </w:tcPr>
          <w:p w14:paraId="74F881DF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47284D71" w14:textId="77777777" w:rsidR="00A85737" w:rsidRDefault="00A85737" w:rsidP="00A8573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Segoe UI" w:hAnsi="Segoe UI" w:cs="Segoe UI"/>
                <w:color w:val="266C9F"/>
                <w:shd w:val="clear" w:color="auto" w:fill="FFFFFF"/>
              </w:rPr>
              <w:t>Stafræn færni</w:t>
            </w:r>
          </w:p>
          <w:p w14:paraId="677BFBB2" w14:textId="209B4985" w:rsidR="009A5626" w:rsidRPr="00A9636B" w:rsidRDefault="009A5626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</w:p>
        </w:tc>
        <w:tc>
          <w:tcPr>
            <w:tcW w:w="567" w:type="dxa"/>
            <w:shd w:val="clear" w:color="auto" w:fill="266C9F"/>
          </w:tcPr>
          <w:p w14:paraId="7C9B492F" w14:textId="70903631" w:rsidR="009A5626" w:rsidRPr="00A9636B" w:rsidRDefault="009A5626" w:rsidP="009A5626">
            <w:pPr>
              <w:pStyle w:val="Prrafodelista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7C0F63" w:rsidRPr="00E03782" w14:paraId="10E6C7DB" w14:textId="77777777" w:rsidTr="00AC0BAF">
        <w:tc>
          <w:tcPr>
            <w:tcW w:w="2716" w:type="dxa"/>
            <w:shd w:val="clear" w:color="auto" w:fill="4DAE3A"/>
            <w:vAlign w:val="center"/>
          </w:tcPr>
          <w:p w14:paraId="0D8572CB" w14:textId="4EACBB57" w:rsidR="007C0F63" w:rsidRPr="00A9636B" w:rsidRDefault="00DB1E4D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Orðalisti</w:t>
            </w:r>
            <w:r w:rsidR="007C0F63"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6A375046" w14:textId="5BCD536E" w:rsidR="00421E4B" w:rsidRDefault="0078222B" w:rsidP="006957E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 w:rsidRPr="0089320C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s-ES"/>
              </w:rPr>
              <w:t>Símenntun</w:t>
            </w:r>
            <w:proofErr w:type="spellEnd"/>
            <w:r w:rsidRPr="0089320C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s-ES"/>
              </w:rPr>
              <w:t>:</w:t>
            </w:r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Símenntun</w:t>
            </w:r>
            <w:proofErr w:type="spellEnd"/>
            <w:r w:rsidR="00A0389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A0389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</w:t>
            </w:r>
            <w:proofErr w:type="spellEnd"/>
            <w:r w:rsidR="00A0389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samþætting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náms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lífs</w:t>
            </w:r>
            <w:proofErr w:type="spellEnd"/>
            <w:r w:rsidR="00B56EF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56EF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nær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yfir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56EF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alla</w:t>
            </w:r>
            <w:proofErr w:type="spellEnd"/>
            <w:r w:rsidR="00B56EF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56EF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ævi</w:t>
            </w:r>
            <w:proofErr w:type="spellEnd"/>
            <w:r w:rsidR="00B56EF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56EF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manneskjunnar</w:t>
            </w:r>
            <w:proofErr w:type="spellEnd"/>
            <w:r w:rsidR="00F94B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="00F94B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frá</w:t>
            </w:r>
            <w:proofErr w:type="spellEnd"/>
            <w:r w:rsidR="00F94B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F94B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vöggu</w:t>
            </w:r>
            <w:proofErr w:type="spellEnd"/>
            <w:r w:rsidR="00F94B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F94B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til</w:t>
            </w:r>
            <w:proofErr w:type="spellEnd"/>
            <w:r w:rsidR="00F94B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F94B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grafar</w:t>
            </w:r>
            <w:proofErr w:type="spellEnd"/>
            <w:r w:rsidR="00B6480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. </w:t>
            </w:r>
            <w:proofErr w:type="spellStart"/>
            <w:r w:rsidR="00B6480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Átt</w:t>
            </w:r>
            <w:proofErr w:type="spellEnd"/>
            <w:r w:rsidR="00B6480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6480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við</w:t>
            </w:r>
            <w:proofErr w:type="spellEnd"/>
            <w:r w:rsidR="00B6480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6480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við</w:t>
            </w:r>
            <w:proofErr w:type="spellEnd"/>
            <w:r w:rsidR="00B6480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ævilangt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alhliða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nám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F0737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lastRenderedPageBreak/>
              <w:t>sem</w:t>
            </w:r>
            <w:proofErr w:type="spellEnd"/>
            <w:r w:rsidR="00F0737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á </w:t>
            </w:r>
            <w:proofErr w:type="spellStart"/>
            <w:r w:rsidR="00F0737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sér</w:t>
            </w:r>
            <w:proofErr w:type="spellEnd"/>
            <w:r w:rsidR="00F0737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F0737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stað</w:t>
            </w:r>
            <w:proofErr w:type="spellEnd"/>
            <w:r w:rsidR="00F0737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með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margvíslegum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hætti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uppfyllir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fjölbreyttar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námsþarfir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kröfur</w:t>
            </w:r>
            <w:proofErr w:type="spellEnd"/>
            <w:r w:rsidRPr="007822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.</w:t>
            </w:r>
          </w:p>
          <w:p w14:paraId="3C44A8D4" w14:textId="5410D4AF" w:rsidR="0017348A" w:rsidRDefault="0017348A" w:rsidP="00067D60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 w:rsidRPr="0017348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s-ES"/>
              </w:rPr>
              <w:t>Frumkvöðlastarf</w:t>
            </w:r>
            <w:proofErr w:type="spellEnd"/>
            <w:r w:rsidRPr="0017348A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s-ES"/>
              </w:rPr>
              <w:t>:</w:t>
            </w:r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r w:rsidR="00792E0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Í </w:t>
            </w:r>
            <w:proofErr w:type="spellStart"/>
            <w:r w:rsidR="00792E0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</w:t>
            </w:r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rumkvöðlastarf</w:t>
            </w:r>
            <w:proofErr w:type="spellEnd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</w:t>
            </w:r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u</w:t>
            </w:r>
            <w:proofErr w:type="spellEnd"/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tækifær</w:t>
            </w:r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i</w:t>
            </w:r>
            <w:proofErr w:type="spellEnd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hugmynd</w:t>
            </w:r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ir</w:t>
            </w:r>
            <w:proofErr w:type="spellEnd"/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nýttar</w:t>
            </w:r>
            <w:proofErr w:type="spellEnd"/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breytt</w:t>
            </w:r>
            <w:proofErr w:type="spellEnd"/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í </w:t>
            </w:r>
            <w:proofErr w:type="spellStart"/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virði</w:t>
            </w:r>
            <w:proofErr w:type="spellEnd"/>
            <w:r w:rsidR="00067D6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.</w:t>
            </w:r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Verðmætin</w:t>
            </w:r>
            <w:proofErr w:type="spellEnd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sem</w:t>
            </w:r>
            <w:proofErr w:type="spellEnd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skapast</w:t>
            </w:r>
            <w:proofErr w:type="spellEnd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geta </w:t>
            </w:r>
            <w:proofErr w:type="spellStart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verið</w:t>
            </w:r>
            <w:proofErr w:type="spellEnd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fjárhagsleg</w:t>
            </w:r>
            <w:proofErr w:type="spellEnd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menningarleg</w:t>
            </w:r>
            <w:proofErr w:type="spellEnd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eða</w:t>
            </w:r>
            <w:proofErr w:type="spellEnd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félagsleg</w:t>
            </w:r>
            <w:proofErr w:type="spellEnd"/>
            <w:r w:rsidRPr="001734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(FFE-YE, 2012).</w:t>
            </w:r>
          </w:p>
          <w:p w14:paraId="6617ADAB" w14:textId="0B2B770B" w:rsidR="00706C04" w:rsidRDefault="00706C04" w:rsidP="00421E4B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 w:rsidRPr="00EC7383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s-ES"/>
              </w:rPr>
              <w:t>Færni</w:t>
            </w:r>
            <w:proofErr w:type="spellEnd"/>
            <w:r w:rsidRPr="00EC7383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s-ES"/>
              </w:rPr>
              <w:t>:</w:t>
            </w:r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Hæfni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4B5E5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</w:t>
            </w:r>
            <w:proofErr w:type="spellEnd"/>
            <w:r w:rsidR="00473C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473C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</w:t>
            </w:r>
            <w:r w:rsidR="004B5E5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ð</w:t>
            </w:r>
            <w:proofErr w:type="spellEnd"/>
            <w:r w:rsidR="004B5E5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geta </w:t>
            </w:r>
            <w:proofErr w:type="spellStart"/>
            <w:r w:rsidR="004B5E5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beitt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til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þekkingu</w:t>
            </w:r>
            <w:proofErr w:type="spellEnd"/>
            <w:r w:rsidR="001762E7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473C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til</w:t>
            </w:r>
            <w:proofErr w:type="spellEnd"/>
            <w:r w:rsidR="00473C8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að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klára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verkefni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leysa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vandamál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. Í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samhengi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við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1762E7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evrópska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hæf</w:t>
            </w:r>
            <w:r w:rsidR="001762E7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ni</w:t>
            </w:r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ramma</w:t>
            </w:r>
            <w:r w:rsidR="001762E7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nn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færni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lýst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sem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vitrænni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(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sem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felur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í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sér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notkun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4612F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innsæi</w:t>
            </w:r>
            <w:proofErr w:type="spellEnd"/>
            <w:r w:rsidR="004612F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4612F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="004612F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rökrænnar</w:t>
            </w:r>
            <w:proofErr w:type="spellEnd"/>
            <w:r w:rsidR="004612F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skapandi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hugsunar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)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eða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hagnýt</w:t>
            </w:r>
            <w:r w:rsidR="00B10AE5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ri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(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sem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felur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í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sér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handlagni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notkun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aðferða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efna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verkfæra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tækja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) (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Evrópuþingið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ráðsins</w:t>
            </w:r>
            <w:proofErr w:type="spellEnd"/>
            <w:r w:rsidRPr="00706C0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, 2008).</w:t>
            </w:r>
          </w:p>
          <w:p w14:paraId="4F965A1D" w14:textId="14FA8A92" w:rsidR="00C10EA9" w:rsidRDefault="00C10EA9" w:rsidP="00421E4B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 w:rsidRPr="00EC7383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s-ES"/>
              </w:rPr>
              <w:t>Verðmætasköpun</w:t>
            </w:r>
            <w:proofErr w:type="spellEnd"/>
            <w:r w:rsidRPr="00EC7383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s-ES"/>
              </w:rPr>
              <w:t>:</w:t>
            </w:r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Verðmætasköpun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afrakstur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mannlegra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athafna</w:t>
            </w:r>
            <w:proofErr w:type="spellEnd"/>
            <w:r w:rsidR="00AF35A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AF35A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þar</w:t>
            </w:r>
            <w:proofErr w:type="spellEnd"/>
            <w:r w:rsidR="00AF35A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AF35A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sem</w:t>
            </w:r>
            <w:proofErr w:type="spellEnd"/>
            <w:r w:rsidR="00AF35A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hugmyndum</w:t>
            </w:r>
            <w:proofErr w:type="spellEnd"/>
            <w:r w:rsidR="00AF35A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AF35A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</w:t>
            </w:r>
            <w:proofErr w:type="spellEnd"/>
            <w:r w:rsidR="00AF35A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AF35A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breitt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í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aðgerðir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sem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skapa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verðmæti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.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Þetta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get</w:t>
            </w:r>
            <w:r w:rsidR="002C59E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</w:t>
            </w:r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verið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félagsleg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menningarleg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eða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efnahagsleg</w:t>
            </w:r>
            <w:r w:rsidR="002C59E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verðmæti</w:t>
            </w:r>
            <w:proofErr w:type="spellEnd"/>
            <w:r w:rsidR="002C59E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.</w:t>
            </w:r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(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EntreComp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orða</w:t>
            </w:r>
            <w:r w:rsidR="00025F9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listi</w:t>
            </w:r>
            <w:proofErr w:type="spellEnd"/>
            <w:r w:rsidRPr="00C10EA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).</w:t>
            </w:r>
          </w:p>
          <w:p w14:paraId="539186A2" w14:textId="5EAB9438" w:rsidR="0035119F" w:rsidRPr="00A9636B" w:rsidRDefault="0035119F" w:rsidP="00421E4B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 w:rsidRPr="0035119F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s-ES"/>
              </w:rPr>
              <w:t>Þekking</w:t>
            </w:r>
            <w:proofErr w:type="spellEnd"/>
            <w:r w:rsidRPr="0035119F"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s-ES"/>
              </w:rPr>
              <w:t>:</w:t>
            </w:r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Þekking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</w:t>
            </w:r>
            <w:r w:rsidR="00F611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afn</w:t>
            </w:r>
            <w:proofErr w:type="spellEnd"/>
            <w:r w:rsidR="00F6112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staðreynda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meginreglna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kenninga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starfsvenja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sem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tengjast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starfs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-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eða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námssviði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. Í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samhengi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við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evrópska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hæf</w:t>
            </w:r>
            <w:r w:rsidR="0031698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ni</w:t>
            </w:r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rammann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þekkingu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lýst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sem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fræðilegri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/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eða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046AB8" w:rsidRPr="00046AB8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byggð</w:t>
            </w:r>
            <w:r w:rsidR="00046AB8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ri</w:t>
            </w:r>
            <w:proofErr w:type="spellEnd"/>
            <w:r w:rsidR="00046AB8" w:rsidRPr="00046AB8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á </w:t>
            </w:r>
            <w:proofErr w:type="spellStart"/>
            <w:r w:rsidR="00046AB8" w:rsidRPr="00046AB8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staðreyndum</w:t>
            </w:r>
            <w:proofErr w:type="spellEnd"/>
            <w:r w:rsidR="00046AB8" w:rsidRPr="00046AB8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(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Evrópuþingið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ráðið</w:t>
            </w:r>
            <w:proofErr w:type="spellEnd"/>
            <w:r w:rsidRPr="0035119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, 2008).</w:t>
            </w:r>
          </w:p>
        </w:tc>
      </w:tr>
      <w:tr w:rsidR="007C0F63" w:rsidRPr="00E03782" w14:paraId="72AA9107" w14:textId="77777777" w:rsidTr="00AC0BAF">
        <w:tc>
          <w:tcPr>
            <w:tcW w:w="2716" w:type="dxa"/>
            <w:shd w:val="clear" w:color="auto" w:fill="4DAE3A"/>
          </w:tcPr>
          <w:p w14:paraId="008DE1CC" w14:textId="4A5F43F3" w:rsidR="007C0F63" w:rsidRPr="00A9636B" w:rsidRDefault="00DB1E4D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Heimildaskrá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5E1BFC4A" w14:textId="4857908F" w:rsidR="00DC2E79" w:rsidRPr="00A9636B" w:rsidRDefault="00F72B07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Um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DC2E7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EntreCom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með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sérstaka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áherslu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á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EntreCom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í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framkvæmd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:</w:t>
            </w:r>
            <w:r w:rsidR="00DC2E7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(</w:t>
            </w:r>
            <w:hyperlink r:id="rId11" w:history="1">
              <w:r w:rsidR="00DC2E79" w:rsidRPr="00981B79">
                <w:rPr>
                  <w:rStyle w:val="Hipervnculo"/>
                  <w:rFonts w:asciiTheme="minorHAnsi" w:hAnsiTheme="minorHAnsi" w:cstheme="minorHAnsi"/>
                  <w:lang w:val="es-ES"/>
                </w:rPr>
                <w:t>https://publications.jrc.ec.europa.eu/repository/handle/JRC109128</w:t>
              </w:r>
            </w:hyperlink>
            <w:r w:rsidR="00DC2E7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) </w:t>
            </w:r>
          </w:p>
        </w:tc>
      </w:tr>
      <w:tr w:rsidR="007C0F63" w:rsidRPr="00A9636B" w14:paraId="2351232E" w14:textId="77777777" w:rsidTr="00AC0BAF">
        <w:tc>
          <w:tcPr>
            <w:tcW w:w="2716" w:type="dxa"/>
            <w:shd w:val="clear" w:color="auto" w:fill="4DAE3A"/>
          </w:tcPr>
          <w:p w14:paraId="148A9F4C" w14:textId="44D7687D" w:rsidR="007C0F63" w:rsidRPr="00A9636B" w:rsidRDefault="00DB1E4D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Höfundur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250DF3DD" w14:textId="0D4C9B5E" w:rsidR="007C0F63" w:rsidRPr="00A9636B" w:rsidRDefault="00DC2E79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IHF asbl</w:t>
            </w:r>
          </w:p>
        </w:tc>
      </w:tr>
    </w:tbl>
    <w:p w14:paraId="32F2AEDF" w14:textId="3D232161" w:rsidR="000834BC" w:rsidRPr="007C0F63" w:rsidRDefault="000834BC" w:rsidP="007C0F63">
      <w:pPr>
        <w:rPr>
          <w:lang w:val="es-ES"/>
        </w:rPr>
      </w:pPr>
    </w:p>
    <w:sectPr w:rsidR="000834BC" w:rsidRPr="007C0F63" w:rsidSect="00137BB7">
      <w:headerReference w:type="default" r:id="rId12"/>
      <w:footerReference w:type="default" r:id="rId13"/>
      <w:pgSz w:w="11906" w:h="16838"/>
      <w:pgMar w:top="0" w:right="1134" w:bottom="851" w:left="993" w:header="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B4D0" w14:textId="77777777" w:rsidR="00EB3564" w:rsidRDefault="00EB3564" w:rsidP="00137BB7">
      <w:pPr>
        <w:spacing w:after="0" w:line="240" w:lineRule="auto"/>
      </w:pPr>
      <w:r>
        <w:separator/>
      </w:r>
    </w:p>
  </w:endnote>
  <w:endnote w:type="continuationSeparator" w:id="0">
    <w:p w14:paraId="125C8742" w14:textId="77777777" w:rsidR="00EB3564" w:rsidRDefault="00EB3564" w:rsidP="00137BB7">
      <w:pPr>
        <w:spacing w:after="0" w:line="240" w:lineRule="auto"/>
      </w:pPr>
      <w:r>
        <w:continuationSeparator/>
      </w:r>
    </w:p>
  </w:endnote>
  <w:endnote w:type="continuationNotice" w:id="1">
    <w:p w14:paraId="3FCBF0CA" w14:textId="77777777" w:rsidR="00EB3564" w:rsidRDefault="00EB35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6DA" w14:textId="77777777" w:rsidR="00137BB7" w:rsidRDefault="00137BB7" w:rsidP="00137BB7">
    <w:pPr>
      <w:spacing w:after="0"/>
      <w:ind w:left="-851"/>
      <w:rPr>
        <w:rFonts w:hAnsi="Tw Cen MT"/>
        <w:color w:val="767171" w:themeColor="background2" w:themeShade="80"/>
        <w:kern w:val="24"/>
        <w:sz w:val="16"/>
        <w:szCs w:val="16"/>
        <w:lang w:val="en-US"/>
      </w:rPr>
    </w:pPr>
  </w:p>
  <w:p w14:paraId="25D6238E" w14:textId="77777777" w:rsidR="00137BB7" w:rsidRDefault="00137BB7" w:rsidP="00137BB7">
    <w:pPr>
      <w:spacing w:after="0"/>
      <w:ind w:left="-426"/>
      <w:rPr>
        <w:rFonts w:hAnsi="Tw Cen MT"/>
        <w:color w:val="767171" w:themeColor="background2" w:themeShade="80"/>
        <w:kern w:val="24"/>
        <w:sz w:val="16"/>
        <w:szCs w:val="16"/>
        <w:lang w:val="en-US"/>
      </w:rPr>
    </w:pPr>
    <w:r w:rsidRPr="00AC3E98">
      <w:rPr>
        <w:noProof/>
        <w:color w:val="767171" w:themeColor="background2" w:themeShade="80"/>
        <w:sz w:val="16"/>
        <w:szCs w:val="16"/>
        <w:lang w:val="en-GB" w:eastAsia="en-GB"/>
      </w:rPr>
      <w:drawing>
        <wp:anchor distT="0" distB="0" distL="114300" distR="114300" simplePos="0" relativeHeight="251658241" behindDoc="0" locked="0" layoutInCell="1" allowOverlap="1" wp14:anchorId="25388D7A" wp14:editId="75091EFB">
          <wp:simplePos x="0" y="0"/>
          <wp:positionH relativeFrom="column">
            <wp:posOffset>100965</wp:posOffset>
          </wp:positionH>
          <wp:positionV relativeFrom="paragraph">
            <wp:posOffset>80645</wp:posOffset>
          </wp:positionV>
          <wp:extent cx="1889760" cy="452120"/>
          <wp:effectExtent l="0" t="0" r="0" b="5080"/>
          <wp:wrapSquare wrapText="bothSides"/>
          <wp:docPr id="7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EC9D1" w14:textId="77777777" w:rsidR="00137BB7" w:rsidRDefault="00137BB7" w:rsidP="00137BB7">
    <w:pPr>
      <w:spacing w:after="0"/>
      <w:ind w:left="-426"/>
      <w:rPr>
        <w:rFonts w:hAnsi="Tw Cen MT"/>
        <w:color w:val="767171" w:themeColor="background2" w:themeShade="80"/>
        <w:kern w:val="24"/>
        <w:sz w:val="14"/>
        <w:szCs w:val="14"/>
        <w:lang w:val="en-US"/>
      </w:rPr>
    </w:pPr>
    <w:r w:rsidRPr="00AC3E98">
      <w:rPr>
        <w:noProof/>
        <w:color w:val="767171" w:themeColor="background2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3C19FD2D" wp14:editId="4C128814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7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 xml:space="preserve">With the support of the Erasmus+ programme of the European Union. This document and its contents reflect the </w:t>
    </w:r>
  </w:p>
  <w:p w14:paraId="6F31187C" w14:textId="77777777" w:rsidR="00137BB7" w:rsidRPr="00AC3E98" w:rsidRDefault="00137BB7" w:rsidP="00137BB7">
    <w:pPr>
      <w:spacing w:after="0"/>
      <w:ind w:left="-426"/>
      <w:rPr>
        <w:rFonts w:hAnsi="Tw Cen MT"/>
        <w:color w:val="767171" w:themeColor="background2" w:themeShade="80"/>
        <w:kern w:val="24"/>
        <w:sz w:val="14"/>
        <w:szCs w:val="14"/>
        <w:lang w:val="en-US"/>
      </w:rPr>
    </w:pPr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>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1C33" w14:textId="77777777" w:rsidR="00EB3564" w:rsidRDefault="00EB3564" w:rsidP="00137BB7">
      <w:pPr>
        <w:spacing w:after="0" w:line="240" w:lineRule="auto"/>
      </w:pPr>
      <w:r>
        <w:separator/>
      </w:r>
    </w:p>
  </w:footnote>
  <w:footnote w:type="continuationSeparator" w:id="0">
    <w:p w14:paraId="5533DC75" w14:textId="77777777" w:rsidR="00EB3564" w:rsidRDefault="00EB3564" w:rsidP="00137BB7">
      <w:pPr>
        <w:spacing w:after="0" w:line="240" w:lineRule="auto"/>
      </w:pPr>
      <w:r>
        <w:continuationSeparator/>
      </w:r>
    </w:p>
  </w:footnote>
  <w:footnote w:type="continuationNotice" w:id="1">
    <w:p w14:paraId="4E73CDDE" w14:textId="77777777" w:rsidR="00EB3564" w:rsidRDefault="00EB35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CB94" w14:textId="77777777" w:rsidR="00137BB7" w:rsidRDefault="00137BB7"/>
  <w:tbl>
    <w:tblPr>
      <w:tblStyle w:val="Tablaconcuadrcula"/>
      <w:tblW w:w="1035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6520"/>
    </w:tblGrid>
    <w:tr w:rsidR="00137BB7" w:rsidRPr="00AC3E98" w14:paraId="7983C56A" w14:textId="77777777" w:rsidTr="00137BB7">
      <w:trPr>
        <w:trHeight w:val="983"/>
      </w:trPr>
      <w:tc>
        <w:tcPr>
          <w:tcW w:w="3833" w:type="dxa"/>
          <w:vMerge w:val="restart"/>
        </w:tcPr>
        <w:p w14:paraId="403943F6" w14:textId="77777777" w:rsidR="00137BB7" w:rsidRDefault="00137BB7" w:rsidP="00137BB7">
          <w:pPr>
            <w:pStyle w:val="Encabezado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</w:p>
        <w:p w14:paraId="0C3F6A00" w14:textId="77777777" w:rsidR="00137BB7" w:rsidRDefault="00137BB7" w:rsidP="00137BB7">
          <w:pPr>
            <w:pStyle w:val="Encabezado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</w:p>
        <w:p w14:paraId="2D00E166" w14:textId="0F8D7F3F" w:rsidR="00137BB7" w:rsidRPr="00773941" w:rsidRDefault="00137BB7" w:rsidP="00137BB7">
          <w:pPr>
            <w:pStyle w:val="Encabezado"/>
            <w:tabs>
              <w:tab w:val="left" w:pos="-1701"/>
            </w:tabs>
            <w:rPr>
              <w:noProof/>
              <w:lang w:val="en-GB"/>
            </w:rPr>
          </w:pPr>
          <w:r w:rsidRPr="00137BB7">
            <w:rPr>
              <w:b/>
              <w:color w:val="44546A" w:themeColor="text2"/>
              <w:sz w:val="28"/>
              <w:szCs w:val="28"/>
              <w:lang w:val="en-US"/>
            </w:rPr>
            <w:t>Nurturing Intangible Cultural Heritage for Entrepreneurship</w:t>
          </w:r>
        </w:p>
      </w:tc>
      <w:tc>
        <w:tcPr>
          <w:tcW w:w="6520" w:type="dxa"/>
        </w:tcPr>
        <w:p w14:paraId="15D3CD9D" w14:textId="0DB0C796" w:rsidR="00137BB7" w:rsidRPr="00AC3E98" w:rsidRDefault="00137BB7" w:rsidP="00137BB7">
          <w:pPr>
            <w:pStyle w:val="Encabezado"/>
            <w:tabs>
              <w:tab w:val="left" w:pos="-1701"/>
            </w:tabs>
            <w:rPr>
              <w:lang w:val="en-GB"/>
            </w:rPr>
          </w:pPr>
          <w:r>
            <w:rPr>
              <w:noProof/>
              <w:lang w:val="en-GB"/>
            </w:rPr>
            <w:t xml:space="preserve">                                                 </w:t>
          </w:r>
          <w:r w:rsidRPr="00773941">
            <w:rPr>
              <w:noProof/>
              <w:lang w:val="en-GB" w:eastAsia="en-GB"/>
            </w:rPr>
            <w:drawing>
              <wp:inline distT="0" distB="0" distL="0" distR="0" wp14:anchorId="21993C53" wp14:editId="0EAC07C2">
                <wp:extent cx="2210770" cy="880521"/>
                <wp:effectExtent l="0" t="0" r="0" b="0"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2" cy="933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BB7" w:rsidRPr="00AC3E98" w14:paraId="4738D57E" w14:textId="77777777" w:rsidTr="00137BB7">
      <w:trPr>
        <w:trHeight w:val="578"/>
      </w:trPr>
      <w:tc>
        <w:tcPr>
          <w:tcW w:w="3833" w:type="dxa"/>
          <w:vMerge/>
        </w:tcPr>
        <w:p w14:paraId="4F397B5A" w14:textId="35F5B638" w:rsidR="00137BB7" w:rsidRDefault="00137BB7" w:rsidP="00137BB7">
          <w:pPr>
            <w:pStyle w:val="Encabezado"/>
            <w:tabs>
              <w:tab w:val="left" w:pos="-1701"/>
            </w:tabs>
            <w:jc w:val="center"/>
            <w:rPr>
              <w:noProof/>
              <w:lang w:val="en-GB"/>
            </w:rPr>
          </w:pPr>
        </w:p>
      </w:tc>
      <w:tc>
        <w:tcPr>
          <w:tcW w:w="6520" w:type="dxa"/>
        </w:tcPr>
        <w:p w14:paraId="6B3E11AC" w14:textId="21A889DE" w:rsidR="00137BB7" w:rsidRPr="00773941" w:rsidRDefault="00137BB7" w:rsidP="00137BB7">
          <w:pPr>
            <w:pStyle w:val="Encabezado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  <w:r w:rsidRPr="00773941">
            <w:rPr>
              <w:b/>
              <w:color w:val="44546A" w:themeColor="text2"/>
              <w:lang w:val="en-US"/>
            </w:rPr>
            <w:t xml:space="preserve">                                     </w:t>
          </w:r>
          <w:r>
            <w:rPr>
              <w:b/>
              <w:color w:val="44546A" w:themeColor="text2"/>
              <w:lang w:val="en-US"/>
            </w:rPr>
            <w:t xml:space="preserve">     </w:t>
          </w:r>
          <w:r w:rsidRPr="00773941">
            <w:rPr>
              <w:b/>
              <w:color w:val="44546A" w:themeColor="text2"/>
              <w:lang w:val="en-US"/>
            </w:rPr>
            <w:t xml:space="preserve"> www.nicheproject.eu</w:t>
          </w:r>
        </w:p>
      </w:tc>
    </w:tr>
  </w:tbl>
  <w:p w14:paraId="5AA6077A" w14:textId="77777777" w:rsidR="00137BB7" w:rsidRDefault="00137BB7" w:rsidP="00137BB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95E"/>
    <w:multiLevelType w:val="hybridMultilevel"/>
    <w:tmpl w:val="FBEE69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548"/>
    <w:multiLevelType w:val="multilevel"/>
    <w:tmpl w:val="1B9ED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119EA"/>
    <w:multiLevelType w:val="multilevel"/>
    <w:tmpl w:val="9DD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1B6368"/>
    <w:multiLevelType w:val="hybridMultilevel"/>
    <w:tmpl w:val="9674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F4E6F"/>
    <w:multiLevelType w:val="hybridMultilevel"/>
    <w:tmpl w:val="EF06770E"/>
    <w:lvl w:ilvl="0" w:tplc="0809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7" w15:restartNumberingAfterBreak="0">
    <w:nsid w:val="37D11369"/>
    <w:multiLevelType w:val="multilevel"/>
    <w:tmpl w:val="BDC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97781B"/>
    <w:multiLevelType w:val="multilevel"/>
    <w:tmpl w:val="F42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6E7AEB"/>
    <w:multiLevelType w:val="hybridMultilevel"/>
    <w:tmpl w:val="D5441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63015"/>
    <w:multiLevelType w:val="multilevel"/>
    <w:tmpl w:val="84A63648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FE4E52"/>
    <w:multiLevelType w:val="multilevel"/>
    <w:tmpl w:val="E90E4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1469D"/>
    <w:multiLevelType w:val="multilevel"/>
    <w:tmpl w:val="6CD2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F0EA7"/>
    <w:multiLevelType w:val="multilevel"/>
    <w:tmpl w:val="88E2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185EB3"/>
    <w:multiLevelType w:val="hybridMultilevel"/>
    <w:tmpl w:val="88E09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96315"/>
    <w:multiLevelType w:val="hybridMultilevel"/>
    <w:tmpl w:val="DE7C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152B8"/>
    <w:multiLevelType w:val="hybridMultilevel"/>
    <w:tmpl w:val="51D8477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AE4F14"/>
    <w:multiLevelType w:val="multilevel"/>
    <w:tmpl w:val="D9366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B73BFC"/>
    <w:multiLevelType w:val="multilevel"/>
    <w:tmpl w:val="EF54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6C5C06"/>
    <w:multiLevelType w:val="multilevel"/>
    <w:tmpl w:val="1DF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500078"/>
    <w:multiLevelType w:val="hybridMultilevel"/>
    <w:tmpl w:val="76AC307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2B3433"/>
    <w:multiLevelType w:val="hybridMultilevel"/>
    <w:tmpl w:val="8A8A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345B4"/>
    <w:multiLevelType w:val="multilevel"/>
    <w:tmpl w:val="AE9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9C65B8"/>
    <w:multiLevelType w:val="hybridMultilevel"/>
    <w:tmpl w:val="0F12A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23593"/>
    <w:multiLevelType w:val="multilevel"/>
    <w:tmpl w:val="15D60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35B06"/>
    <w:multiLevelType w:val="hybridMultilevel"/>
    <w:tmpl w:val="F96416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9803AF"/>
    <w:multiLevelType w:val="hybridMultilevel"/>
    <w:tmpl w:val="F7E4A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D77B3"/>
    <w:multiLevelType w:val="hybridMultilevel"/>
    <w:tmpl w:val="C32CE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D54CC"/>
    <w:multiLevelType w:val="hybridMultilevel"/>
    <w:tmpl w:val="A82E606A"/>
    <w:lvl w:ilvl="0" w:tplc="9770383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9" w15:restartNumberingAfterBreak="0">
    <w:nsid w:val="7A3049B7"/>
    <w:multiLevelType w:val="hybridMultilevel"/>
    <w:tmpl w:val="4DAE6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1"/>
  </w:num>
  <w:num w:numId="10">
    <w:abstractNumId w:val="17"/>
  </w:num>
  <w:num w:numId="11">
    <w:abstractNumId w:val="22"/>
  </w:num>
  <w:num w:numId="12">
    <w:abstractNumId w:val="24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5"/>
  </w:num>
  <w:num w:numId="19">
    <w:abstractNumId w:val="9"/>
  </w:num>
  <w:num w:numId="20">
    <w:abstractNumId w:val="26"/>
  </w:num>
  <w:num w:numId="21">
    <w:abstractNumId w:val="29"/>
  </w:num>
  <w:num w:numId="22">
    <w:abstractNumId w:val="25"/>
  </w:num>
  <w:num w:numId="23">
    <w:abstractNumId w:val="16"/>
  </w:num>
  <w:num w:numId="24">
    <w:abstractNumId w:val="0"/>
  </w:num>
  <w:num w:numId="25">
    <w:abstractNumId w:val="15"/>
  </w:num>
  <w:num w:numId="26">
    <w:abstractNumId w:val="6"/>
  </w:num>
  <w:num w:numId="27">
    <w:abstractNumId w:val="23"/>
  </w:num>
  <w:num w:numId="28">
    <w:abstractNumId w:val="3"/>
  </w:num>
  <w:num w:numId="29">
    <w:abstractNumId w:val="21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B7"/>
    <w:rsid w:val="00002FF0"/>
    <w:rsid w:val="00006385"/>
    <w:rsid w:val="00025F99"/>
    <w:rsid w:val="00046AB8"/>
    <w:rsid w:val="00067569"/>
    <w:rsid w:val="00067D60"/>
    <w:rsid w:val="00073B48"/>
    <w:rsid w:val="000834BC"/>
    <w:rsid w:val="000B3772"/>
    <w:rsid w:val="000B3C98"/>
    <w:rsid w:val="000B3F42"/>
    <w:rsid w:val="000B43AF"/>
    <w:rsid w:val="000E073C"/>
    <w:rsid w:val="000E1CF9"/>
    <w:rsid w:val="00104ED5"/>
    <w:rsid w:val="00137BB7"/>
    <w:rsid w:val="00143512"/>
    <w:rsid w:val="00157944"/>
    <w:rsid w:val="0016247D"/>
    <w:rsid w:val="0017348A"/>
    <w:rsid w:val="00173792"/>
    <w:rsid w:val="001762E7"/>
    <w:rsid w:val="00181BCE"/>
    <w:rsid w:val="0018752A"/>
    <w:rsid w:val="001951B7"/>
    <w:rsid w:val="001977FE"/>
    <w:rsid w:val="001B5CAA"/>
    <w:rsid w:val="001E5F13"/>
    <w:rsid w:val="001E6F7E"/>
    <w:rsid w:val="0020605E"/>
    <w:rsid w:val="002214C4"/>
    <w:rsid w:val="00233669"/>
    <w:rsid w:val="0024304A"/>
    <w:rsid w:val="00246E29"/>
    <w:rsid w:val="00276F52"/>
    <w:rsid w:val="002A3693"/>
    <w:rsid w:val="002C59E3"/>
    <w:rsid w:val="002E7A79"/>
    <w:rsid w:val="002F6AC3"/>
    <w:rsid w:val="00303D9D"/>
    <w:rsid w:val="00313BD1"/>
    <w:rsid w:val="0031698F"/>
    <w:rsid w:val="00322B6B"/>
    <w:rsid w:val="0034398A"/>
    <w:rsid w:val="00344D9C"/>
    <w:rsid w:val="003460AB"/>
    <w:rsid w:val="003469C9"/>
    <w:rsid w:val="0035119F"/>
    <w:rsid w:val="003601E7"/>
    <w:rsid w:val="00392855"/>
    <w:rsid w:val="003D0EAF"/>
    <w:rsid w:val="0040137E"/>
    <w:rsid w:val="00421E4B"/>
    <w:rsid w:val="00426E7F"/>
    <w:rsid w:val="00443100"/>
    <w:rsid w:val="004548D7"/>
    <w:rsid w:val="004612F2"/>
    <w:rsid w:val="004676B0"/>
    <w:rsid w:val="00472228"/>
    <w:rsid w:val="00473C8A"/>
    <w:rsid w:val="004A3614"/>
    <w:rsid w:val="004B5E5F"/>
    <w:rsid w:val="004C1917"/>
    <w:rsid w:val="004E5F6E"/>
    <w:rsid w:val="004E6818"/>
    <w:rsid w:val="004E7806"/>
    <w:rsid w:val="00503130"/>
    <w:rsid w:val="0050484D"/>
    <w:rsid w:val="00507954"/>
    <w:rsid w:val="00530E8A"/>
    <w:rsid w:val="005333E2"/>
    <w:rsid w:val="00540204"/>
    <w:rsid w:val="00552CBF"/>
    <w:rsid w:val="0057788E"/>
    <w:rsid w:val="00584310"/>
    <w:rsid w:val="00592A4D"/>
    <w:rsid w:val="005946BA"/>
    <w:rsid w:val="005A443F"/>
    <w:rsid w:val="005B5D51"/>
    <w:rsid w:val="005B737B"/>
    <w:rsid w:val="005D1BD4"/>
    <w:rsid w:val="005F18AA"/>
    <w:rsid w:val="005F2CAA"/>
    <w:rsid w:val="00612830"/>
    <w:rsid w:val="006404CB"/>
    <w:rsid w:val="00654C7D"/>
    <w:rsid w:val="00661245"/>
    <w:rsid w:val="00665436"/>
    <w:rsid w:val="006761DB"/>
    <w:rsid w:val="006824D8"/>
    <w:rsid w:val="00687430"/>
    <w:rsid w:val="006957E9"/>
    <w:rsid w:val="0069582F"/>
    <w:rsid w:val="006A21D6"/>
    <w:rsid w:val="006B0174"/>
    <w:rsid w:val="006B26AA"/>
    <w:rsid w:val="006E7523"/>
    <w:rsid w:val="006F27A1"/>
    <w:rsid w:val="006F423B"/>
    <w:rsid w:val="0070217A"/>
    <w:rsid w:val="00706C04"/>
    <w:rsid w:val="00720C51"/>
    <w:rsid w:val="00773E37"/>
    <w:rsid w:val="0078222B"/>
    <w:rsid w:val="00786E9C"/>
    <w:rsid w:val="00792E0B"/>
    <w:rsid w:val="00794F90"/>
    <w:rsid w:val="007A426D"/>
    <w:rsid w:val="007C0F63"/>
    <w:rsid w:val="007C451D"/>
    <w:rsid w:val="00807EE8"/>
    <w:rsid w:val="00810E60"/>
    <w:rsid w:val="00827FB6"/>
    <w:rsid w:val="00843A6F"/>
    <w:rsid w:val="00852C7A"/>
    <w:rsid w:val="008648BD"/>
    <w:rsid w:val="00887D33"/>
    <w:rsid w:val="00892D63"/>
    <w:rsid w:val="0089320C"/>
    <w:rsid w:val="008A2309"/>
    <w:rsid w:val="008D2F62"/>
    <w:rsid w:val="008E2B7E"/>
    <w:rsid w:val="00926034"/>
    <w:rsid w:val="0092788A"/>
    <w:rsid w:val="009558B6"/>
    <w:rsid w:val="00961846"/>
    <w:rsid w:val="009812E9"/>
    <w:rsid w:val="00983C7D"/>
    <w:rsid w:val="009871E1"/>
    <w:rsid w:val="009958FC"/>
    <w:rsid w:val="009A5626"/>
    <w:rsid w:val="009B1F37"/>
    <w:rsid w:val="009B3595"/>
    <w:rsid w:val="009B7178"/>
    <w:rsid w:val="00A0389B"/>
    <w:rsid w:val="00A35232"/>
    <w:rsid w:val="00A35481"/>
    <w:rsid w:val="00A369D5"/>
    <w:rsid w:val="00A4419F"/>
    <w:rsid w:val="00A85737"/>
    <w:rsid w:val="00A94FA1"/>
    <w:rsid w:val="00A9636B"/>
    <w:rsid w:val="00AC0BAF"/>
    <w:rsid w:val="00AC3394"/>
    <w:rsid w:val="00AC57D3"/>
    <w:rsid w:val="00AD51C1"/>
    <w:rsid w:val="00AF35A2"/>
    <w:rsid w:val="00AF415E"/>
    <w:rsid w:val="00B0192A"/>
    <w:rsid w:val="00B02B63"/>
    <w:rsid w:val="00B10AE5"/>
    <w:rsid w:val="00B1524F"/>
    <w:rsid w:val="00B27958"/>
    <w:rsid w:val="00B307F4"/>
    <w:rsid w:val="00B5211C"/>
    <w:rsid w:val="00B56EF9"/>
    <w:rsid w:val="00B6480D"/>
    <w:rsid w:val="00B838FC"/>
    <w:rsid w:val="00BA02E9"/>
    <w:rsid w:val="00BA73A1"/>
    <w:rsid w:val="00BB3843"/>
    <w:rsid w:val="00BC6046"/>
    <w:rsid w:val="00BE44FD"/>
    <w:rsid w:val="00BE74EB"/>
    <w:rsid w:val="00BF5D3F"/>
    <w:rsid w:val="00C10EA9"/>
    <w:rsid w:val="00C13953"/>
    <w:rsid w:val="00C15B17"/>
    <w:rsid w:val="00C37474"/>
    <w:rsid w:val="00C44157"/>
    <w:rsid w:val="00C458AF"/>
    <w:rsid w:val="00C53213"/>
    <w:rsid w:val="00C54957"/>
    <w:rsid w:val="00C73B8F"/>
    <w:rsid w:val="00CC3170"/>
    <w:rsid w:val="00CD55D3"/>
    <w:rsid w:val="00CD60A8"/>
    <w:rsid w:val="00CE241F"/>
    <w:rsid w:val="00D10598"/>
    <w:rsid w:val="00D278CE"/>
    <w:rsid w:val="00D27E0A"/>
    <w:rsid w:val="00D40E91"/>
    <w:rsid w:val="00D52814"/>
    <w:rsid w:val="00DA3642"/>
    <w:rsid w:val="00DA6E1C"/>
    <w:rsid w:val="00DB0E4E"/>
    <w:rsid w:val="00DB1E4D"/>
    <w:rsid w:val="00DB62AC"/>
    <w:rsid w:val="00DC2E79"/>
    <w:rsid w:val="00DF27B7"/>
    <w:rsid w:val="00E00BB2"/>
    <w:rsid w:val="00E03782"/>
    <w:rsid w:val="00E42FAD"/>
    <w:rsid w:val="00E46ADF"/>
    <w:rsid w:val="00E67BEC"/>
    <w:rsid w:val="00E82B8B"/>
    <w:rsid w:val="00E908A8"/>
    <w:rsid w:val="00E97917"/>
    <w:rsid w:val="00EB3564"/>
    <w:rsid w:val="00EC7383"/>
    <w:rsid w:val="00ED4AC9"/>
    <w:rsid w:val="00F07372"/>
    <w:rsid w:val="00F0762F"/>
    <w:rsid w:val="00F213F6"/>
    <w:rsid w:val="00F25160"/>
    <w:rsid w:val="00F3209E"/>
    <w:rsid w:val="00F37AF7"/>
    <w:rsid w:val="00F42957"/>
    <w:rsid w:val="00F43DDB"/>
    <w:rsid w:val="00F50189"/>
    <w:rsid w:val="00F6112B"/>
    <w:rsid w:val="00F667F9"/>
    <w:rsid w:val="00F72B07"/>
    <w:rsid w:val="00F83D43"/>
    <w:rsid w:val="00F94B9D"/>
    <w:rsid w:val="00FB4679"/>
    <w:rsid w:val="00FD4631"/>
    <w:rsid w:val="00FE2571"/>
    <w:rsid w:val="044C870D"/>
    <w:rsid w:val="354DD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D82D"/>
  <w15:chartTrackingRefBased/>
  <w15:docId w15:val="{87C48467-721A-49CB-8E88-5252F73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63"/>
    <w:pPr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Ttulo1">
    <w:name w:val="heading 1"/>
    <w:basedOn w:val="Normal"/>
    <w:next w:val="Normal"/>
    <w:link w:val="Ttulo1Car"/>
    <w:qFormat/>
    <w:rsid w:val="007C0F63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BB7"/>
  </w:style>
  <w:style w:type="paragraph" w:styleId="Piedepgina">
    <w:name w:val="footer"/>
    <w:basedOn w:val="Normal"/>
    <w:link w:val="PiedepginaCar"/>
    <w:uiPriority w:val="99"/>
    <w:unhideWhenUsed/>
    <w:rsid w:val="00137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BB7"/>
  </w:style>
  <w:style w:type="table" w:styleId="Tablaconcuadrcula">
    <w:name w:val="Table Grid"/>
    <w:basedOn w:val="Tablanormal"/>
    <w:uiPriority w:val="39"/>
    <w:rsid w:val="00137BB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6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4676B0"/>
  </w:style>
  <w:style w:type="character" w:customStyle="1" w:styleId="eop">
    <w:name w:val="eop"/>
    <w:basedOn w:val="Fuentedeprrafopredeter"/>
    <w:rsid w:val="004676B0"/>
  </w:style>
  <w:style w:type="character" w:customStyle="1" w:styleId="apple-converted-space">
    <w:name w:val="apple-converted-space"/>
    <w:basedOn w:val="Fuentedeprrafopredeter"/>
    <w:rsid w:val="004676B0"/>
  </w:style>
  <w:style w:type="paragraph" w:styleId="Prrafodelista">
    <w:name w:val="List Paragraph"/>
    <w:basedOn w:val="Normal"/>
    <w:uiPriority w:val="99"/>
    <w:qFormat/>
    <w:rsid w:val="00ED4AC9"/>
    <w:pPr>
      <w:ind w:left="720"/>
      <w:contextualSpacing/>
    </w:pPr>
    <w:rPr>
      <w:lang w:val="sk-SK"/>
    </w:rPr>
  </w:style>
  <w:style w:type="character" w:customStyle="1" w:styleId="Ttulo1Car">
    <w:name w:val="Título 1 Car"/>
    <w:basedOn w:val="Fuentedeprrafopredeter"/>
    <w:link w:val="Ttulo1"/>
    <w:rsid w:val="007C0F63"/>
    <w:rPr>
      <w:rFonts w:ascii="Arial" w:eastAsia="Times New Roman" w:hAnsi="Arial" w:cs="Times New Roman"/>
      <w:b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DC2E79"/>
    <w:rPr>
      <w:color w:val="0563C1" w:themeColor="hyperlink"/>
      <w:u w:val="single"/>
    </w:rPr>
  </w:style>
  <w:style w:type="character" w:customStyle="1" w:styleId="spellingerror">
    <w:name w:val="spellingerror"/>
    <w:basedOn w:val="Fuentedeprrafopredeter"/>
    <w:rsid w:val="004E5F6E"/>
  </w:style>
  <w:style w:type="character" w:styleId="Hipervnculovisitado">
    <w:name w:val="FollowedHyperlink"/>
    <w:basedOn w:val="Fuentedeprrafopredeter"/>
    <w:uiPriority w:val="99"/>
    <w:semiHidden/>
    <w:unhideWhenUsed/>
    <w:rsid w:val="006A2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ations.jrc.ec.europa.eu/repository/handle/JRC10912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rdis.europa.eu/project/id/727188" TargetMode="External"/><Relationship Id="rId4" Type="http://schemas.openxmlformats.org/officeDocument/2006/relationships/styles" Target="styles.xml"/><Relationship Id="rId9" Type="http://schemas.openxmlformats.org/officeDocument/2006/relationships/hyperlink" Target="https://cordis.europa.eu/project/id/72676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2" ma:contentTypeDescription="Create a new document." ma:contentTypeScope="" ma:versionID="ff16817e6c0304258bb39d3da2e18076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8cf7324cf9e6790ec2856db94d93e328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A7240-B946-445C-BE29-1461663A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F2D24-3BD0-4BE4-A587-A39D60D3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1204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7811</CharactersWithSpaces>
  <SharedDoc>false</SharedDoc>
  <HLinks>
    <vt:vector size="18" baseType="variant"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https://publications.jrc.ec.europa.eu/repository/handle/JRC109128</vt:lpwstr>
      </vt:variant>
      <vt:variant>
        <vt:lpwstr/>
      </vt:variant>
      <vt:variant>
        <vt:i4>2490415</vt:i4>
      </vt:variant>
      <vt:variant>
        <vt:i4>3</vt:i4>
      </vt:variant>
      <vt:variant>
        <vt:i4>0</vt:i4>
      </vt:variant>
      <vt:variant>
        <vt:i4>5</vt:i4>
      </vt:variant>
      <vt:variant>
        <vt:lpwstr>https://cordis.europa.eu/project/id/727188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https://cordis.europa.eu/project/id/726765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al iws</cp:lastModifiedBy>
  <cp:revision>145</cp:revision>
  <dcterms:created xsi:type="dcterms:W3CDTF">2021-11-12T02:22:00Z</dcterms:created>
  <dcterms:modified xsi:type="dcterms:W3CDTF">2022-01-28T11:24:00Z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</Properties>
</file>