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323C" w14:textId="25EE9D6A" w:rsidR="00C15B17" w:rsidRPr="00AC0BAF" w:rsidRDefault="004918B2" w:rsidP="00C15B17">
      <w:pPr>
        <w:ind w:left="567" w:hanging="425"/>
        <w:jc w:val="center"/>
        <w:rPr>
          <w:rFonts w:cs="Calibri"/>
          <w:b/>
          <w:bCs/>
          <w:color w:val="266C9F"/>
          <w:sz w:val="44"/>
          <w:szCs w:val="36"/>
          <w:lang w:val="en-GB"/>
        </w:rPr>
      </w:pPr>
      <w:proofErr w:type="spellStart"/>
      <w:r w:rsidRPr="006E54DF">
        <w:rPr>
          <w:rFonts w:cs="Calibri"/>
          <w:b/>
          <w:bCs/>
          <w:color w:val="266C9F"/>
          <w:sz w:val="44"/>
          <w:szCs w:val="36"/>
          <w:lang w:val="en-GB"/>
        </w:rPr>
        <w:t>Leiðbeiningar</w:t>
      </w:r>
      <w:proofErr w:type="spellEnd"/>
      <w:r w:rsidRPr="006E54DF">
        <w:rPr>
          <w:rFonts w:cs="Calibri"/>
          <w:b/>
          <w:bCs/>
          <w:color w:val="266C9F"/>
          <w:sz w:val="44"/>
          <w:szCs w:val="36"/>
          <w:lang w:val="en-GB"/>
        </w:rPr>
        <w:t xml:space="preserve"> </w:t>
      </w:r>
      <w:proofErr w:type="spellStart"/>
      <w:r w:rsidRPr="006E54DF">
        <w:rPr>
          <w:rFonts w:cs="Calibri"/>
          <w:b/>
          <w:bCs/>
          <w:color w:val="266C9F"/>
          <w:sz w:val="44"/>
          <w:szCs w:val="36"/>
          <w:lang w:val="en-GB"/>
        </w:rPr>
        <w:t>með</w:t>
      </w:r>
      <w:proofErr w:type="spellEnd"/>
      <w:r w:rsidRPr="006E54DF">
        <w:rPr>
          <w:rFonts w:cs="Calibri"/>
          <w:b/>
          <w:bCs/>
          <w:color w:val="266C9F"/>
          <w:sz w:val="44"/>
          <w:szCs w:val="36"/>
          <w:lang w:val="en-GB"/>
        </w:rPr>
        <w:t xml:space="preserve"> </w:t>
      </w:r>
      <w:proofErr w:type="spellStart"/>
      <w:r w:rsidRPr="006E54DF">
        <w:rPr>
          <w:rFonts w:cs="Calibri"/>
          <w:b/>
          <w:bCs/>
          <w:color w:val="266C9F"/>
          <w:sz w:val="44"/>
          <w:szCs w:val="36"/>
          <w:lang w:val="en-GB"/>
        </w:rPr>
        <w:t>námsefni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6"/>
        <w:gridCol w:w="1957"/>
        <w:gridCol w:w="4111"/>
        <w:gridCol w:w="567"/>
      </w:tblGrid>
      <w:tr w:rsidR="007C0F63" w:rsidRPr="00A9636B" w14:paraId="511F4BF6" w14:textId="77777777" w:rsidTr="3E17E4D9">
        <w:tc>
          <w:tcPr>
            <w:tcW w:w="2716" w:type="dxa"/>
            <w:shd w:val="clear" w:color="auto" w:fill="4DAE3A"/>
          </w:tcPr>
          <w:p w14:paraId="49715C42" w14:textId="6724726C" w:rsidR="007C0F63" w:rsidRPr="00A9636B" w:rsidRDefault="007C0F6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</w:t>
            </w:r>
            <w:r w:rsidR="006A6F8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itill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CED27DF" w14:textId="4881A4DC" w:rsidR="007C0F63" w:rsidRPr="00A9636B" w:rsidRDefault="00DE26D0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>Samskipti</w:t>
            </w:r>
            <w:proofErr w:type="spellEnd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>og</w:t>
            </w:r>
            <w:proofErr w:type="spellEnd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>samstarf</w:t>
            </w:r>
            <w:proofErr w:type="spellEnd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>með</w:t>
            </w:r>
            <w:proofErr w:type="spellEnd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>stafrænum</w:t>
            </w:r>
            <w:proofErr w:type="spellEnd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Pr="00DE26D0">
              <w:rPr>
                <w:rFonts w:asciiTheme="minorHAnsi" w:hAnsiTheme="minorHAnsi" w:cstheme="minorHAnsi"/>
                <w:color w:val="1F3864" w:themeColor="accent1" w:themeShade="80"/>
              </w:rPr>
              <w:t>miðlum</w:t>
            </w:r>
            <w:proofErr w:type="spellEnd"/>
          </w:p>
        </w:tc>
      </w:tr>
      <w:tr w:rsidR="007C0F63" w:rsidRPr="00E86B56" w14:paraId="3810A9BC" w14:textId="77777777" w:rsidTr="3E17E4D9">
        <w:tc>
          <w:tcPr>
            <w:tcW w:w="2716" w:type="dxa"/>
            <w:shd w:val="clear" w:color="auto" w:fill="4DAE3A"/>
          </w:tcPr>
          <w:p w14:paraId="38B1EDD1" w14:textId="24D225B1" w:rsidR="007C0F63" w:rsidRPr="00A9636B" w:rsidRDefault="007F5FC8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</w:t>
            </w:r>
            <w:r w:rsidR="007B009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y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kilorð</w:t>
            </w:r>
            <w:proofErr w:type="spellEnd"/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CFD2F6A" w14:textId="18044988" w:rsidR="007C0F63" w:rsidRPr="00E86B56" w:rsidRDefault="00F043EA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Stafræm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hæfni</w:t>
            </w:r>
            <w:proofErr w:type="spellEnd"/>
            <w:r w:rsidR="00E86B56"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Samskipti</w:t>
            </w:r>
            <w:proofErr w:type="spellEnd"/>
            <w:r w:rsidR="00E86B56"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Samstarf</w:t>
            </w:r>
            <w:proofErr w:type="spellEnd"/>
            <w:r w:rsidR="00E86B56"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 w:rsidR="00E86B56"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DigComp</w:t>
            </w:r>
            <w:proofErr w:type="spellEnd"/>
            <w:r w:rsidR="00E86B56"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proofErr w:type="gramStart"/>
            <w:r w:rsidR="00BC3B5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Upplýsinga</w:t>
            </w:r>
            <w:proofErr w:type="spellEnd"/>
            <w:r w:rsidR="00BC3B5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(</w:t>
            </w:r>
            <w:proofErr w:type="gramEnd"/>
            <w:r w:rsidR="00BC3B5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- </w:t>
            </w:r>
            <w:proofErr w:type="spellStart"/>
            <w:r w:rsidR="00BC3B5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 w:rsidR="00BC3B5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BC3B5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samskipta</w:t>
            </w:r>
            <w:proofErr w:type="spellEnd"/>
            <w:r w:rsidR="00BC3B5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) </w:t>
            </w:r>
            <w:proofErr w:type="spellStart"/>
            <w:r w:rsidR="00BC3B58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tækni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Þátttaka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hagaðila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</w:p>
        </w:tc>
      </w:tr>
      <w:tr w:rsidR="007C0F63" w:rsidRPr="00E86B56" w14:paraId="2B348AA0" w14:textId="77777777" w:rsidTr="3E17E4D9">
        <w:tc>
          <w:tcPr>
            <w:tcW w:w="2716" w:type="dxa"/>
            <w:shd w:val="clear" w:color="auto" w:fill="4DAE3A"/>
          </w:tcPr>
          <w:p w14:paraId="724C5BEC" w14:textId="145D2C4C" w:rsidR="007C0F63" w:rsidRPr="00A9636B" w:rsidRDefault="00BC3B58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Markmið</w:t>
            </w:r>
            <w:proofErr w:type="spellEnd"/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09466442" w14:textId="1CB58F22" w:rsidR="007C0F63" w:rsidRDefault="004918B2" w:rsidP="00E86B5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k</w:t>
            </w:r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>ynna</w:t>
            </w:r>
            <w:proofErr w:type="spellEnd"/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 xml:space="preserve"> sér </w:t>
            </w:r>
            <w:proofErr w:type="spellStart"/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>Evrópska</w:t>
            </w:r>
            <w:proofErr w:type="spellEnd"/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>viðmiðunarrammann</w:t>
            </w:r>
            <w:proofErr w:type="spellEnd"/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 xml:space="preserve"> um </w:t>
            </w:r>
            <w:proofErr w:type="spellStart"/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>starfræna</w:t>
            </w:r>
            <w:proofErr w:type="spellEnd"/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C25150">
              <w:rPr>
                <w:rFonts w:asciiTheme="minorHAnsi" w:hAnsiTheme="minorHAnsi" w:cstheme="minorHAnsi"/>
                <w:color w:val="1F3864" w:themeColor="accent1" w:themeShade="80"/>
              </w:rPr>
              <w:t>hæfni</w:t>
            </w:r>
            <w:proofErr w:type="spellEnd"/>
          </w:p>
          <w:p w14:paraId="321A18D8" w14:textId="656CAB39" w:rsidR="00E86B56" w:rsidRDefault="004918B2" w:rsidP="00E86B5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s</w:t>
            </w:r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kilja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mikilvægi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samstarfs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og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samvinnu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þegar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kemur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að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upplýsingatækni</w:t>
            </w:r>
            <w:proofErr w:type="spellEnd"/>
          </w:p>
          <w:p w14:paraId="766F69A3" w14:textId="3982E205" w:rsidR="00E86B56" w:rsidRPr="00E86B56" w:rsidRDefault="00AC5B51" w:rsidP="00E86B5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Að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ö</w:t>
            </w:r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ðlast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góðar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starfsvenjur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fyrir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teymiss</w:t>
            </w:r>
            <w:r>
              <w:rPr>
                <w:rFonts w:asciiTheme="minorHAnsi" w:hAnsiTheme="minorHAnsi" w:cstheme="minorHAnsi"/>
                <w:color w:val="1F3864" w:themeColor="accent1" w:themeShade="80"/>
              </w:rPr>
              <w:t>tjórnun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og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þátttöku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hagaðila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í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stafrænu</w:t>
            </w:r>
            <w:proofErr w:type="spellEnd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proofErr w:type="spellStart"/>
            <w:r w:rsidR="00A82DC0">
              <w:rPr>
                <w:rFonts w:asciiTheme="minorHAnsi" w:hAnsiTheme="minorHAnsi" w:cstheme="minorHAnsi"/>
                <w:color w:val="1F3864" w:themeColor="accent1" w:themeShade="80"/>
              </w:rPr>
              <w:t>samhengi</w:t>
            </w:r>
            <w:proofErr w:type="spellEnd"/>
          </w:p>
        </w:tc>
      </w:tr>
      <w:tr w:rsidR="007C0F63" w:rsidRPr="00E86B56" w14:paraId="0A0E847F" w14:textId="77777777" w:rsidTr="3E17E4D9">
        <w:tc>
          <w:tcPr>
            <w:tcW w:w="2716" w:type="dxa"/>
            <w:shd w:val="clear" w:color="auto" w:fill="4DAE3A"/>
          </w:tcPr>
          <w:p w14:paraId="19B6F212" w14:textId="4B78A83E" w:rsidR="007C0F63" w:rsidRPr="00A9636B" w:rsidRDefault="00E175CC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Hæfniviðmið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A715D21" w14:textId="4F1A9D57" w:rsidR="007C0F63" w:rsidRPr="00E86B56" w:rsidRDefault="00EE26DE" w:rsidP="00E86B56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Betri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færni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í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upplýsingatækniverkfærum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kerfum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til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að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bera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kennsl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á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hagsmunaaðila</w:t>
            </w:r>
            <w:proofErr w:type="spellEnd"/>
            <w:r w:rsidR="00DE5B00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DE5B00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þátttöku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í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stafrænu</w:t>
            </w:r>
            <w:proofErr w:type="spellEnd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Pr="00EE26DE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umhverfi</w:t>
            </w:r>
            <w:proofErr w:type="spellEnd"/>
          </w:p>
        </w:tc>
      </w:tr>
      <w:tr w:rsidR="007C0F63" w:rsidRPr="00A9636B" w14:paraId="20881FD0" w14:textId="77777777" w:rsidTr="3E17E4D9">
        <w:tc>
          <w:tcPr>
            <w:tcW w:w="2716" w:type="dxa"/>
            <w:shd w:val="clear" w:color="auto" w:fill="4DAE3A"/>
          </w:tcPr>
          <w:p w14:paraId="65E188EC" w14:textId="2D290FBF" w:rsidR="007C0F63" w:rsidRPr="00A9636B" w:rsidRDefault="007C0F63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EQF</w:t>
            </w:r>
            <w:r w:rsidR="00F4022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F4022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þrep</w:t>
            </w:r>
            <w:proofErr w:type="spellEnd"/>
            <w:r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184EC27E" w14:textId="10BCD64F" w:rsidR="007C0F63" w:rsidRPr="00A9636B" w:rsidRDefault="00E86B56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4</w:t>
            </w:r>
          </w:p>
        </w:tc>
      </w:tr>
      <w:tr w:rsidR="00F3209E" w:rsidRPr="00E86B56" w14:paraId="2D8047A9" w14:textId="77777777" w:rsidTr="3E17E4D9">
        <w:tc>
          <w:tcPr>
            <w:tcW w:w="2716" w:type="dxa"/>
            <w:shd w:val="clear" w:color="auto" w:fill="4DAE3A"/>
          </w:tcPr>
          <w:p w14:paraId="1CF106A5" w14:textId="0AB90B43" w:rsidR="00F3209E" w:rsidRPr="00A9636B" w:rsidRDefault="002218F7" w:rsidP="00C32D7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Hæfni</w:t>
            </w:r>
            <w:proofErr w:type="spellEnd"/>
            <w:r w:rsidR="00F3209E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/</w:t>
            </w:r>
            <w:proofErr w:type="spellStart"/>
            <w:r w:rsidR="00F4022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færni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598AF0C" w14:textId="4A6EC377" w:rsidR="00F3209E" w:rsidRPr="00E86B56" w:rsidRDefault="00E86B56" w:rsidP="00C32D7F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DigComp</w:t>
            </w:r>
            <w:proofErr w:type="spellEnd"/>
            <w:r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2.1 </w:t>
            </w:r>
            <w:proofErr w:type="spellStart"/>
            <w:r w:rsidR="001A692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Stoðir</w:t>
            </w:r>
            <w:proofErr w:type="spellEnd"/>
            <w:r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n</w:t>
            </w:r>
            <w:r w:rsidR="001A692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r</w:t>
            </w:r>
            <w:r w:rsidRPr="00E86B56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.2, </w:t>
            </w:r>
            <w:proofErr w:type="spellStart"/>
            <w:r w:rsidR="001A692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Samskipti</w:t>
            </w:r>
            <w:proofErr w:type="spellEnd"/>
            <w:r w:rsidR="001A692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1A692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og</w:t>
            </w:r>
            <w:proofErr w:type="spellEnd"/>
            <w:r w:rsidR="001A692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1A692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samstarf</w:t>
            </w:r>
            <w:proofErr w:type="spellEnd"/>
            <w:r w:rsidR="001A6925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þar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sem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C27907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</w:t>
            </w:r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amskipti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123213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með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stafræn</w:t>
            </w:r>
            <w:r w:rsidR="00123213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um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miðl</w:t>
            </w:r>
            <w:r w:rsidR="00123213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um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er</w:t>
            </w:r>
            <w:r w:rsidR="00123213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skoð</w:t>
            </w:r>
            <w:r w:rsidR="00123213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u</w:t>
            </w:r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ð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til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>hlítar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  <w:t xml:space="preserve"> </w:t>
            </w:r>
          </w:p>
        </w:tc>
      </w:tr>
      <w:tr w:rsidR="007C0F63" w:rsidRPr="00A9636B" w14:paraId="387B778A" w14:textId="77777777" w:rsidTr="3E17E4D9">
        <w:tc>
          <w:tcPr>
            <w:tcW w:w="2716" w:type="dxa"/>
            <w:shd w:val="clear" w:color="auto" w:fill="4DAE3A"/>
          </w:tcPr>
          <w:p w14:paraId="69FDB6E1" w14:textId="292AA6F0" w:rsidR="007C0F63" w:rsidRPr="00A9636B" w:rsidRDefault="00123213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Tími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455DBF2A" w14:textId="21B28ADD" w:rsidR="007C0F63" w:rsidRPr="00A9636B" w:rsidRDefault="00E86B56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 xml:space="preserve">2 </w:t>
            </w:r>
            <w:proofErr w:type="spellStart"/>
            <w:r w:rsidR="00FD16FA">
              <w:rPr>
                <w:rFonts w:asciiTheme="minorHAnsi" w:hAnsiTheme="minorHAnsi" w:cstheme="minorHAnsi"/>
                <w:color w:val="1F3864" w:themeColor="accent1" w:themeShade="80"/>
              </w:rPr>
              <w:t>klst</w:t>
            </w:r>
            <w:proofErr w:type="spellEnd"/>
            <w:r w:rsidR="00FD16FA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</w:p>
        </w:tc>
      </w:tr>
      <w:tr w:rsidR="007C0F63" w:rsidRPr="00E86B56" w14:paraId="72A42F46" w14:textId="77777777" w:rsidTr="3E17E4D9">
        <w:tc>
          <w:tcPr>
            <w:tcW w:w="2716" w:type="dxa"/>
            <w:shd w:val="clear" w:color="auto" w:fill="4DAE3A"/>
          </w:tcPr>
          <w:p w14:paraId="73A5B555" w14:textId="24485C76" w:rsidR="007C0F63" w:rsidRPr="00A9636B" w:rsidRDefault="00C27907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Námsþættir</w:t>
            </w:r>
            <w:proofErr w:type="spellEnd"/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7C70A642" w14:textId="262267AE" w:rsidR="007C0F63" w:rsidRPr="00A9636B" w:rsidRDefault="00FD16FA" w:rsidP="00E86B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Samskipti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="001F5098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og</w:t>
            </w:r>
            <w:proofErr w:type="spellEnd"/>
            <w:r w:rsidR="001F5098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="001F5098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samstarf</w:t>
            </w:r>
            <w:proofErr w:type="spellEnd"/>
            <w:r w:rsidR="001F5098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 w:rsidR="001F5098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með</w:t>
            </w:r>
            <w:proofErr w:type="spellEnd"/>
            <w:r w:rsidR="001F5098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stafræn</w:t>
            </w:r>
            <w:r w:rsidR="001F5098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um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miðl</w:t>
            </w:r>
            <w:r w:rsidR="001F5098">
              <w:rPr>
                <w:rFonts w:asciiTheme="minorHAnsi" w:eastAsia="Times New Roman" w:hAnsiTheme="minorHAnsi" w:cstheme="minorHAnsi"/>
                <w:b/>
                <w:bCs/>
                <w:color w:val="266C9F"/>
                <w:lang w:eastAsia="en-GB"/>
              </w:rPr>
              <w:t>um</w:t>
            </w:r>
            <w:proofErr w:type="spellEnd"/>
          </w:p>
          <w:p w14:paraId="08A73F5F" w14:textId="7E4F2337" w:rsidR="007C0F63" w:rsidRPr="00A9636B" w:rsidRDefault="007C0F63" w:rsidP="00E86B56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1336C9B3" w14:textId="3641DB23" w:rsidR="007C0F63" w:rsidRPr="00797678" w:rsidRDefault="00690D77" w:rsidP="0079767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</w:pPr>
            <w:proofErr w:type="spellStart"/>
            <w:r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hluti</w:t>
            </w:r>
            <w:proofErr w:type="spellEnd"/>
            <w:r w:rsidR="007C0F63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: </w:t>
            </w:r>
            <w:r w:rsidR="00FD16FA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Stutt </w:t>
            </w:r>
            <w:proofErr w:type="spellStart"/>
            <w:r w:rsidR="00FD16FA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kynning</w:t>
            </w:r>
            <w:proofErr w:type="spellEnd"/>
            <w:r w:rsidR="00FD16FA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 á</w:t>
            </w:r>
            <w:r w:rsidR="00E86B56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 </w:t>
            </w:r>
            <w:proofErr w:type="spellStart"/>
            <w:r w:rsidR="00E86B56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DigComp</w:t>
            </w:r>
            <w:proofErr w:type="spellEnd"/>
            <w:r w:rsidR="00E86B56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 2.1  </w:t>
            </w:r>
          </w:p>
          <w:p w14:paraId="37E4959F" w14:textId="141060A6" w:rsidR="007C0F63" w:rsidRPr="00E86B56" w:rsidRDefault="00FD16FA" w:rsidP="00E86B56">
            <w:pPr>
              <w:pStyle w:val="ListParagraph"/>
              <w:spacing w:after="0" w:line="240" w:lineRule="auto"/>
              <w:ind w:left="336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</w:t>
            </w:r>
            <w:proofErr w:type="spellEnd"/>
            <w:r w:rsidR="007C0F63" w:rsidRPr="00E86B56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1: </w:t>
            </w:r>
            <w:proofErr w:type="spellStart"/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DigComp</w:t>
            </w:r>
            <w:proofErr w:type="spellEnd"/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2.1: </w:t>
            </w:r>
            <w:proofErr w:type="spellStart"/>
            <w:r w:rsidR="0051198B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Hvaða</w:t>
            </w:r>
            <w:proofErr w:type="spellEnd"/>
            <w:r w:rsidR="0051198B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51198B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nýtingarmöguleikar</w:t>
            </w:r>
            <w:proofErr w:type="spellEnd"/>
            <w:r w:rsidR="0051198B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51198B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eru</w:t>
            </w:r>
            <w:proofErr w:type="spellEnd"/>
            <w:r w:rsidR="0051198B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í </w:t>
            </w:r>
            <w:proofErr w:type="spellStart"/>
            <w:r w:rsidR="0051198B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boði</w:t>
            </w:r>
            <w:proofErr w:type="spellEnd"/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?</w:t>
            </w:r>
          </w:p>
          <w:p w14:paraId="0E489453" w14:textId="6FB87482" w:rsidR="00382895" w:rsidRDefault="00A35457" w:rsidP="00E86B56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="007C0F63" w:rsidRPr="00E86B5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2: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Opinberi</w:t>
            </w:r>
            <w:proofErr w:type="spellEnd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Evrópski</w:t>
            </w:r>
            <w:proofErr w:type="spellEnd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viðmiðunarrammi</w:t>
            </w:r>
            <w:proofErr w:type="spellEnd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fyrir</w:t>
            </w:r>
            <w:proofErr w:type="spellEnd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þjálfun</w:t>
            </w:r>
            <w:proofErr w:type="spellEnd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kennslu</w:t>
            </w:r>
            <w:proofErr w:type="spellEnd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í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stafrænni</w:t>
            </w:r>
            <w:proofErr w:type="spellEnd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B4C02" w:rsidRPr="008B4C0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færni</w:t>
            </w:r>
            <w:proofErr w:type="spellEnd"/>
          </w:p>
          <w:p w14:paraId="108D63C2" w14:textId="6E3C45AB" w:rsidR="00DA6E1C" w:rsidRPr="00E86B56" w:rsidRDefault="00382895" w:rsidP="00E86B56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="007C0F63" w:rsidRPr="00E86B5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3: </w:t>
            </w:r>
            <w:proofErr w:type="spellStart"/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DigComp</w:t>
            </w:r>
            <w:proofErr w:type="spellEnd"/>
          </w:p>
          <w:p w14:paraId="47259B51" w14:textId="77777777" w:rsidR="00DA6E1C" w:rsidRPr="00E86B56" w:rsidRDefault="00DA6E1C" w:rsidP="00E86B56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7D7CACD3" w14:textId="175503AC" w:rsidR="007C0F63" w:rsidRPr="00797678" w:rsidRDefault="00797678" w:rsidP="0079767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hluti</w:t>
            </w:r>
            <w:proofErr w:type="spellEnd"/>
            <w:r w:rsidR="007C0F63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: </w:t>
            </w:r>
            <w:proofErr w:type="spellStart"/>
            <w:r w:rsidR="00BF1FD1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Sams</w:t>
            </w:r>
            <w:r w:rsidR="00452F99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kipta</w:t>
            </w:r>
            <w:proofErr w:type="spellEnd"/>
            <w:r w:rsidR="00452F99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- </w:t>
            </w:r>
            <w:proofErr w:type="spellStart"/>
            <w:r w:rsidR="00452F99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og</w:t>
            </w:r>
            <w:proofErr w:type="spellEnd"/>
            <w:r w:rsidR="00452F99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 </w:t>
            </w:r>
            <w:proofErr w:type="spellStart"/>
            <w:r w:rsidR="00BF1FD1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s</w:t>
            </w:r>
            <w:r w:rsidR="00452F99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>amstarfsstoðir</w:t>
            </w:r>
            <w:proofErr w:type="spellEnd"/>
            <w:r w:rsidR="00E86B56" w:rsidRPr="00797678">
              <w:rPr>
                <w:rFonts w:asciiTheme="minorHAnsi" w:eastAsia="Times New Roman" w:hAnsiTheme="minorHAnsi" w:cstheme="minorHAnsi"/>
                <w:b/>
                <w:bCs/>
                <w:color w:val="266C9F"/>
                <w:lang w:val="en-GB" w:eastAsia="en-GB"/>
              </w:rPr>
              <w:t xml:space="preserve">  </w:t>
            </w:r>
          </w:p>
          <w:p w14:paraId="32FF1FCD" w14:textId="271DBF23" w:rsidR="007C0F63" w:rsidRPr="00E86B56" w:rsidRDefault="00A37F00" w:rsidP="00E86B56">
            <w:pPr>
              <w:pStyle w:val="ListParagraph"/>
              <w:spacing w:after="0" w:line="240" w:lineRule="auto"/>
              <w:ind w:left="336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Kafli</w:t>
            </w:r>
            <w:proofErr w:type="spellEnd"/>
            <w:r w:rsidR="007C0F63" w:rsidRPr="00E86B56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1: </w:t>
            </w:r>
            <w:proofErr w:type="spellStart"/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DigComp</w:t>
            </w:r>
            <w:proofErr w:type="spellEnd"/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þjálfunarsvið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nr</w:t>
            </w:r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.2</w:t>
            </w:r>
          </w:p>
          <w:p w14:paraId="0073CCC6" w14:textId="223F242A" w:rsidR="007C0F63" w:rsidRDefault="00A37F00" w:rsidP="00E86B56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2: </w:t>
            </w:r>
            <w:proofErr w:type="spellStart"/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DigComp</w:t>
            </w:r>
            <w:proofErr w:type="spellEnd"/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93270A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nr. </w:t>
            </w:r>
            <w:r w:rsidR="00E86B56" w:rsidRPr="00E86B5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2.1</w:t>
            </w:r>
          </w:p>
          <w:p w14:paraId="171A6AE1" w14:textId="6324E6AE" w:rsidR="00E86B56" w:rsidRDefault="00AA7076" w:rsidP="00E86B56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="00E86B56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B879E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3: </w:t>
            </w:r>
            <w:proofErr w:type="spellStart"/>
            <w:r w:rsidR="00B879E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Samskipti</w:t>
            </w:r>
            <w:proofErr w:type="spellEnd"/>
            <w:r w:rsidR="00B879E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B879E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gegnum</w:t>
            </w:r>
            <w:proofErr w:type="spellEnd"/>
            <w:r w:rsidR="00B879E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B879E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stafræna</w:t>
            </w:r>
            <w:proofErr w:type="spellEnd"/>
            <w:r w:rsidR="00B879E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B879E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miðla</w:t>
            </w:r>
            <w:proofErr w:type="spellEnd"/>
          </w:p>
          <w:p w14:paraId="38BE08B6" w14:textId="6D61093A" w:rsidR="00C94F23" w:rsidRDefault="00C94F23" w:rsidP="00E86B56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2C7EDF6E" w14:textId="61F80D31" w:rsidR="00C94F23" w:rsidRPr="00797678" w:rsidRDefault="00797678" w:rsidP="00797678">
            <w:pPr>
              <w:pStyle w:val="ListParagraph"/>
              <w:numPr>
                <w:ilvl w:val="0"/>
                <w:numId w:val="29"/>
              </w:numPr>
              <w:jc w:val="both"/>
              <w:textAlignment w:val="baseline"/>
              <w:rPr>
                <w:rFonts w:asciiTheme="minorHAnsi" w:hAnsiTheme="minorHAnsi" w:cstheme="minorHAnsi"/>
                <w:b/>
                <w:color w:val="266C9F"/>
                <w:lang w:val="en-IS"/>
              </w:rPr>
            </w:pPr>
            <w:proofErr w:type="spellStart"/>
            <w:proofErr w:type="gramStart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hluti</w:t>
            </w:r>
            <w:proofErr w:type="spellEnd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 xml:space="preserve"> </w:t>
            </w:r>
            <w:r w:rsidR="00C94F23" w:rsidRPr="00797678"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:</w:t>
            </w:r>
            <w:proofErr w:type="gramEnd"/>
            <w:r w:rsidR="00C94F23" w:rsidRPr="00797678"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 xml:space="preserve"> </w:t>
            </w:r>
            <w:proofErr w:type="spellStart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>Góðar</w:t>
            </w:r>
            <w:proofErr w:type="spellEnd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 xml:space="preserve"> </w:t>
            </w:r>
            <w:proofErr w:type="spellStart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>starfsvenjur</w:t>
            </w:r>
            <w:proofErr w:type="spellEnd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 xml:space="preserve"> í </w:t>
            </w:r>
            <w:proofErr w:type="spellStart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>samskiptum</w:t>
            </w:r>
            <w:proofErr w:type="spellEnd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 xml:space="preserve"> </w:t>
            </w:r>
            <w:proofErr w:type="spellStart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>gegnum</w:t>
            </w:r>
            <w:proofErr w:type="spellEnd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 xml:space="preserve"> </w:t>
            </w:r>
            <w:proofErr w:type="spellStart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>stafræna</w:t>
            </w:r>
            <w:proofErr w:type="spellEnd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 xml:space="preserve"> </w:t>
            </w:r>
            <w:proofErr w:type="spellStart"/>
            <w:r w:rsidRPr="00797678"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>tækn</w:t>
            </w:r>
            <w:r>
              <w:rPr>
                <w:rFonts w:asciiTheme="minorHAnsi" w:eastAsia="Times New Roman" w:hAnsiTheme="minorHAnsi" w:cstheme="minorHAnsi"/>
                <w:b/>
                <w:color w:val="266C9F"/>
                <w:lang w:val="en-US"/>
              </w:rPr>
              <w:t>i</w:t>
            </w:r>
            <w:proofErr w:type="spellEnd"/>
          </w:p>
          <w:p w14:paraId="03B610D1" w14:textId="70071E28" w:rsidR="00C94F23" w:rsidRDefault="00B879E7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="00C94F23" w:rsidRP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1: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Úrræði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viðbótarráðleggingar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til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eiga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samskipti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gegnum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stafræna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miðla</w:t>
            </w:r>
            <w:proofErr w:type="spellEnd"/>
            <w:r w:rsidR="00E1231F" w:rsidRPr="00E1231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​</w:t>
            </w:r>
          </w:p>
          <w:p w14:paraId="6EA8A2F5" w14:textId="77777777" w:rsidR="0076479E" w:rsidRDefault="00B879E7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2:</w:t>
            </w:r>
            <w:r w:rsid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</w:t>
            </w:r>
            <w:r w:rsidR="000C0B0F" w:rsidRP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egvís</w:t>
            </w:r>
            <w:r w:rsidR="00000D0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ar</w:t>
            </w:r>
            <w:proofErr w:type="spellEnd"/>
            <w:r w:rsidR="000C0B0F" w:rsidRP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0C0B0F" w:rsidRP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samskipta</w:t>
            </w:r>
            <w:proofErr w:type="spellEnd"/>
            <w:r w:rsidR="000C0B0F" w:rsidRP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á </w:t>
            </w:r>
            <w:proofErr w:type="spellStart"/>
            <w:r w:rsidR="000C0B0F" w:rsidRP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netinu</w:t>
            </w:r>
            <w:proofErr w:type="spellEnd"/>
            <w:r w:rsidR="000C0B0F" w:rsidRP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</w:p>
          <w:p w14:paraId="33EB8EFD" w14:textId="77777777" w:rsidR="004A721B" w:rsidRDefault="0076479E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 w:rsidRPr="0076479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Pr="0076479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2 – </w:t>
            </w:r>
            <w:proofErr w:type="spellStart"/>
            <w:r w:rsidRPr="0076479E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Markmið</w:t>
            </w:r>
            <w:proofErr w:type="spellEnd"/>
          </w:p>
          <w:p w14:paraId="1A7D41AF" w14:textId="77777777" w:rsidR="004A721B" w:rsidRDefault="004A721B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2 – </w:t>
            </w: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Markmið</w:t>
            </w:r>
            <w:proofErr w:type="spellEnd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– </w:t>
            </w: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leiðir</w:t>
            </w:r>
            <w:proofErr w:type="spellEnd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til</w:t>
            </w:r>
            <w:proofErr w:type="spellEnd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meta </w:t>
            </w: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árangur</w:t>
            </w:r>
            <w:proofErr w:type="spellEnd"/>
          </w:p>
          <w:p w14:paraId="48AEF94B" w14:textId="1508D141" w:rsidR="00C94F23" w:rsidRDefault="004A721B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lastRenderedPageBreak/>
              <w:t>Kafli</w:t>
            </w:r>
            <w:proofErr w:type="spellEnd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2 – </w:t>
            </w: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Leiðir</w:t>
            </w:r>
            <w:proofErr w:type="spellEnd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4A721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markhópum</w:t>
            </w:r>
            <w:proofErr w:type="spellEnd"/>
            <w:r w:rsidR="000C0B0F" w:rsidRPr="000C0B0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​</w:t>
            </w:r>
          </w:p>
          <w:p w14:paraId="4E0F5855" w14:textId="4FC43587" w:rsidR="00C94F23" w:rsidRDefault="000C0B0F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3: </w:t>
            </w:r>
            <w:proofErr w:type="spellStart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eiga</w:t>
            </w:r>
            <w:proofErr w:type="spellEnd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samskipti</w:t>
            </w:r>
            <w:proofErr w:type="spellEnd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gegnum</w:t>
            </w:r>
            <w:proofErr w:type="spellEnd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stafræna</w:t>
            </w:r>
            <w:proofErr w:type="spellEnd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miðla</w:t>
            </w:r>
            <w:proofErr w:type="spellEnd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, </w:t>
            </w:r>
            <w:proofErr w:type="spellStart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samskiptaleiðir</w:t>
            </w:r>
            <w:proofErr w:type="spellEnd"/>
            <w:r w:rsidR="008241DF" w:rsidRPr="008241D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​</w:t>
            </w:r>
          </w:p>
          <w:p w14:paraId="68D2E90F" w14:textId="501DE5DB" w:rsidR="003B2FB2" w:rsidRDefault="003B2FB2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2 – </w:t>
            </w:r>
            <w:proofErr w:type="spellStart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Leiðir</w:t>
            </w:r>
            <w:proofErr w:type="spellEnd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ólíkum</w:t>
            </w:r>
            <w:proofErr w:type="spellEnd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3B2FB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hópum</w:t>
            </w:r>
            <w:proofErr w:type="spellEnd"/>
          </w:p>
          <w:p w14:paraId="20E15F6A" w14:textId="70D2BC1A" w:rsidR="007D52B9" w:rsidRDefault="007D52B9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3 –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Innri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samskipti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með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stafrænum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miðlum</w:t>
            </w:r>
            <w:proofErr w:type="spellEnd"/>
          </w:p>
          <w:p w14:paraId="3E9F502E" w14:textId="000C38A9" w:rsidR="007D52B9" w:rsidRDefault="007D52B9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3 –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Ytri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samskipti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með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stafrænum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miðlum</w:t>
            </w:r>
            <w:proofErr w:type="spellEnd"/>
          </w:p>
          <w:p w14:paraId="4BA074F0" w14:textId="790BFD35" w:rsidR="007D52B9" w:rsidRDefault="007D52B9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3 –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Samskiptaleiðir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með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stafrænum</w:t>
            </w:r>
            <w:proofErr w:type="spellEnd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Pr="007D52B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miðlum</w:t>
            </w:r>
            <w:proofErr w:type="spellEnd"/>
          </w:p>
          <w:p w14:paraId="2D4B3512" w14:textId="050BD614" w:rsidR="00C94F23" w:rsidRDefault="008241DF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4: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Léleg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samskipti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leiða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af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sér</w:t>
            </w:r>
            <w:proofErr w:type="spellEnd"/>
            <w:r w:rsid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:</w:t>
            </w:r>
          </w:p>
          <w:p w14:paraId="4237E841" w14:textId="77777777" w:rsidR="007C0F63" w:rsidRDefault="008241DF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Kafli</w:t>
            </w:r>
            <w:proofErr w:type="spellEnd"/>
            <w:r w:rsidR="007A055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5: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setja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viðmið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fyrir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samskipti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á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netinu</w:t>
            </w:r>
            <w:proofErr w:type="spellEnd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: </w:t>
            </w:r>
            <w:proofErr w:type="spellStart"/>
            <w:r w:rsidR="00A00A7C" w:rsidRPr="00A00A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Netsiðir</w:t>
            </w:r>
            <w:proofErr w:type="spellEnd"/>
          </w:p>
          <w:p w14:paraId="372A73AB" w14:textId="2E1348A6" w:rsidR="00BF477D" w:rsidRPr="00C94F23" w:rsidRDefault="00BF477D" w:rsidP="00C94F23">
            <w:pPr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auki</w:t>
            </w:r>
            <w:proofErr w:type="spellEnd"/>
          </w:p>
        </w:tc>
      </w:tr>
      <w:tr w:rsidR="007C0F63" w:rsidRPr="00EB41A0" w14:paraId="00DF3A7A" w14:textId="77777777" w:rsidTr="3E17E4D9">
        <w:tc>
          <w:tcPr>
            <w:tcW w:w="2716" w:type="dxa"/>
            <w:shd w:val="clear" w:color="auto" w:fill="4DAE3A"/>
          </w:tcPr>
          <w:p w14:paraId="068FCAE6" w14:textId="749199E3" w:rsidR="007C0F63" w:rsidRPr="00E86B56" w:rsidRDefault="00F3209E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E86B5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S</w:t>
            </w:r>
            <w:r w:rsidR="001D5A5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jálfsmat</w:t>
            </w:r>
            <w:proofErr w:type="spellEnd"/>
            <w:r w:rsidR="007C0F63" w:rsidRPr="00E86B5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="001D5A5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fjölvalsspurningar</w:t>
            </w:r>
            <w:proofErr w:type="spellEnd"/>
            <w:r w:rsidR="001D5A5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1D5A5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og</w:t>
            </w:r>
            <w:proofErr w:type="spellEnd"/>
            <w:r w:rsidR="001D5A5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="001D5A5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svör</w:t>
            </w:r>
            <w:proofErr w:type="spellEnd"/>
            <w:r w:rsidR="007C0F63" w:rsidRPr="00E86B56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4D59E042" w14:textId="77777777" w:rsidR="00C15B17" w:rsidRPr="00E86B56" w:rsidRDefault="00C15B17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74EBBCE4" w14:textId="41C78276" w:rsidR="007C0F63" w:rsidRDefault="007C0F63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1.</w:t>
            </w:r>
            <w:r w:rsidR="00C94F23" w:rsidRP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C94F23" w:rsidRP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DigComp</w:t>
            </w:r>
            <w:proofErr w:type="spellEnd"/>
            <w:r w:rsidR="00C94F23" w:rsidRP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1D5A5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er </w:t>
            </w:r>
            <w:proofErr w:type="spellStart"/>
            <w:r w:rsidR="001D5A5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viðmiðunarrammi</w:t>
            </w:r>
            <w:proofErr w:type="spellEnd"/>
            <w:r w:rsidR="001D5A5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1D5A5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Evrópusambandsins</w:t>
            </w:r>
            <w:proofErr w:type="spellEnd"/>
            <w:r w:rsidR="00C94F23" w:rsidRP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til</w:t>
            </w:r>
            <w:proofErr w:type="spellEnd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öðlast</w:t>
            </w:r>
            <w:proofErr w:type="spellEnd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góða</w:t>
            </w:r>
            <w:proofErr w:type="spellEnd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kunnáttu</w:t>
            </w:r>
            <w:proofErr w:type="spellEnd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í </w:t>
            </w:r>
            <w:proofErr w:type="spellStart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upplýsingatækni</w:t>
            </w:r>
            <w:proofErr w:type="spellEnd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E91E74" w:rsidRPr="00E91E74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tölvunarfræði</w:t>
            </w:r>
            <w:proofErr w:type="spellEnd"/>
          </w:p>
          <w:p w14:paraId="12261F65" w14:textId="2B82601B" w:rsidR="00C94F23" w:rsidRDefault="00221B08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proofErr w:type="spellEnd"/>
            <w:r w:rsidR="00C94F2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Rangt</w:t>
            </w:r>
            <w:proofErr w:type="spellEnd"/>
          </w:p>
          <w:p w14:paraId="409CC2D7" w14:textId="6188E078" w:rsidR="00C94F23" w:rsidRPr="00C94F23" w:rsidRDefault="00C94F23" w:rsidP="00EB41A0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7BE18FD3" w14:textId="67833C2E" w:rsidR="007C0F63" w:rsidRPr="00EB41A0" w:rsidRDefault="007C0F63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2.</w:t>
            </w:r>
            <w:r w:rsidR="00EB41A0" w:rsidRP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61F6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Öll</w:t>
            </w:r>
            <w:proofErr w:type="spellEnd"/>
            <w:r w:rsidR="00A61F6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A61F61" w:rsidRPr="00A61F6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hæfniviðmiðin</w:t>
            </w:r>
            <w:proofErr w:type="spellEnd"/>
            <w:r w:rsidR="00A61F61" w:rsidRPr="00A61F6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á </w:t>
            </w:r>
            <w:proofErr w:type="spellStart"/>
            <w:r w:rsidR="00A61F61" w:rsidRPr="00A61F6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hæfnisviði</w:t>
            </w:r>
            <w:r w:rsidR="00A61F6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nu</w:t>
            </w:r>
            <w:proofErr w:type="spellEnd"/>
            <w:r w:rsidR="001166B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“</w:t>
            </w:r>
            <w:proofErr w:type="spellStart"/>
            <w:r w:rsidR="001166B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Samskipti</w:t>
            </w:r>
            <w:proofErr w:type="spellEnd"/>
            <w:r w:rsidR="001166B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1166B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og</w:t>
            </w:r>
            <w:proofErr w:type="spellEnd"/>
            <w:r w:rsidR="001166B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1166B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samstarf</w:t>
            </w:r>
            <w:proofErr w:type="spellEnd"/>
            <w:r w:rsidR="001166BD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” </w:t>
            </w:r>
            <w:proofErr w:type="spellStart"/>
            <w:r w:rsidR="003E434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eru</w:t>
            </w:r>
            <w:proofErr w:type="spellEnd"/>
            <w:r w:rsidR="003E434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3E434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óháð</w:t>
            </w:r>
            <w:proofErr w:type="spellEnd"/>
            <w:r w:rsidR="003E434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3E434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hverju</w:t>
            </w:r>
            <w:proofErr w:type="spellEnd"/>
            <w:r w:rsidR="003E434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3E4342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öðru</w:t>
            </w:r>
            <w:proofErr w:type="spellEnd"/>
            <w:r w:rsid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</w:p>
          <w:p w14:paraId="0E7B2E91" w14:textId="67451751" w:rsidR="00EB41A0" w:rsidRDefault="00221B08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proofErr w:type="spellEnd"/>
            <w:r w:rsid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Rangt</w:t>
            </w:r>
            <w:proofErr w:type="spellEnd"/>
          </w:p>
          <w:p w14:paraId="7CD1627F" w14:textId="77777777" w:rsidR="00EB41A0" w:rsidRPr="00EB41A0" w:rsidRDefault="00EB41A0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2A8E67C4" w14:textId="55458EE7" w:rsidR="007C0F63" w:rsidRDefault="007C0F63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3.</w:t>
            </w:r>
            <w:r w:rsidR="00EB41A0" w:rsidRP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7D1C8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Óvirkir</w:t>
            </w:r>
            <w:proofErr w:type="spellEnd"/>
            <w:r w:rsidR="007D1C8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proofErr w:type="gramStart"/>
            <w:r w:rsidR="007D1C8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farþegar</w:t>
            </w:r>
            <w:proofErr w:type="spellEnd"/>
            <w:r w:rsidR="007D1C81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r w:rsidR="00B03A7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(</w:t>
            </w:r>
            <w:proofErr w:type="gramEnd"/>
            <w:r w:rsidR="00B03A7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Passive </w:t>
            </w:r>
            <w:proofErr w:type="spellStart"/>
            <w:r w:rsidR="00B03A7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Passangers</w:t>
            </w:r>
            <w:proofErr w:type="spellEnd"/>
            <w:r w:rsidR="00B03A77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) </w:t>
            </w:r>
            <w:proofErr w:type="spellStart"/>
            <w:r w:rsidR="0062584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eru</w:t>
            </w:r>
            <w:proofErr w:type="spellEnd"/>
            <w:r w:rsidR="0062584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hag</w:t>
            </w:r>
            <w:r w:rsidR="003669F9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aðilar</w:t>
            </w:r>
            <w:proofErr w:type="spellEnd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með</w:t>
            </w:r>
            <w:proofErr w:type="spellEnd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l</w:t>
            </w:r>
            <w:r w:rsidR="00FD667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ítinn</w:t>
            </w:r>
            <w:proofErr w:type="spellEnd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áhuga</w:t>
            </w:r>
            <w:proofErr w:type="spellEnd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en</w:t>
            </w:r>
            <w:proofErr w:type="spellEnd"/>
            <w:r w:rsidR="00383ACF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mik</w:t>
            </w:r>
            <w:r w:rsidR="00FD6678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il</w:t>
            </w:r>
            <w:proofErr w:type="spellEnd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áhrif</w:t>
            </w:r>
            <w:proofErr w:type="spellEnd"/>
          </w:p>
          <w:p w14:paraId="591C83BF" w14:textId="1C11A1D7" w:rsidR="00EB41A0" w:rsidRPr="00EB41A0" w:rsidRDefault="00221B08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Rétt</w:t>
            </w:r>
            <w:proofErr w:type="spellEnd"/>
            <w:r w:rsid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Rangt</w:t>
            </w:r>
            <w:proofErr w:type="spellEnd"/>
          </w:p>
          <w:p w14:paraId="37C0595F" w14:textId="77777777" w:rsidR="00EB41A0" w:rsidRPr="00EB41A0" w:rsidRDefault="00EB41A0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132E7D38" w14:textId="48F8BB56" w:rsidR="007C0F63" w:rsidRDefault="007C0F63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4.</w:t>
            </w:r>
            <w:r w:rsid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Hagaðilar</w:t>
            </w:r>
            <w:proofErr w:type="spellEnd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geta </w:t>
            </w:r>
            <w:proofErr w:type="spellStart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aðeins</w:t>
            </w:r>
            <w:proofErr w:type="spellEnd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haft </w:t>
            </w:r>
            <w:proofErr w:type="spellStart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áhrif</w:t>
            </w:r>
            <w:proofErr w:type="spellEnd"/>
            <w:r w:rsidR="0007284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á </w:t>
            </w:r>
            <w:proofErr w:type="spellStart"/>
            <w:r w:rsidR="009450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stofnunina</w:t>
            </w:r>
            <w:proofErr w:type="spellEnd"/>
            <w:r w:rsidR="0094507C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</w:p>
          <w:p w14:paraId="58F975DD" w14:textId="561E9270" w:rsidR="00EB41A0" w:rsidRPr="00EB41A0" w:rsidRDefault="00221B08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proofErr w:type="spellEnd"/>
            <w:r w:rsid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Rangt</w:t>
            </w:r>
            <w:proofErr w:type="spellEnd"/>
          </w:p>
          <w:p w14:paraId="262FC18B" w14:textId="77777777" w:rsidR="00EB41A0" w:rsidRPr="00EB41A0" w:rsidRDefault="00EB41A0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  <w:p w14:paraId="27636100" w14:textId="0775FCFC" w:rsidR="007C0F63" w:rsidRDefault="007C0F63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  <w:r w:rsidRP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5.</w:t>
            </w:r>
            <w:r w:rsid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YouTube </w:t>
            </w:r>
            <w:r w:rsidR="00DC7FD3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er</w:t>
            </w:r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besti</w:t>
            </w:r>
            <w:proofErr w:type="spellEnd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vettvangurinn</w:t>
            </w:r>
            <w:proofErr w:type="spellEnd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til</w:t>
            </w:r>
            <w:proofErr w:type="spellEnd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að</w:t>
            </w:r>
            <w:proofErr w:type="spellEnd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birta</w:t>
            </w:r>
            <w:proofErr w:type="spellEnd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 xml:space="preserve"> </w:t>
            </w:r>
            <w:proofErr w:type="spellStart"/>
            <w:r w:rsidR="008D75EB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skoðanakanna</w:t>
            </w:r>
            <w:r w:rsidR="00C636BA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nir</w:t>
            </w:r>
            <w:proofErr w:type="spellEnd"/>
          </w:p>
          <w:p w14:paraId="59A74125" w14:textId="45F39DFD" w:rsidR="00EB41A0" w:rsidRPr="00EB41A0" w:rsidRDefault="00221B08" w:rsidP="00EB41A0">
            <w:pPr>
              <w:spacing w:after="0" w:line="240" w:lineRule="auto"/>
              <w:ind w:left="70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Rétt</w:t>
            </w:r>
            <w:proofErr w:type="spellEnd"/>
            <w:r w:rsidR="00EB41A0"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  <w:t>Rangt</w:t>
            </w:r>
            <w:proofErr w:type="spellEnd"/>
          </w:p>
          <w:p w14:paraId="55678ED4" w14:textId="4FEF38D0" w:rsidR="007C0F63" w:rsidRPr="00EB41A0" w:rsidRDefault="007C0F63" w:rsidP="00EB41A0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7C0F63" w:rsidRPr="00C94F23" w14:paraId="37B33D15" w14:textId="77777777" w:rsidTr="3E17E4D9">
        <w:tc>
          <w:tcPr>
            <w:tcW w:w="2716" w:type="dxa"/>
            <w:shd w:val="clear" w:color="auto" w:fill="4DAE3A"/>
          </w:tcPr>
          <w:p w14:paraId="37E945EB" w14:textId="7AC2C0C8" w:rsidR="007C0F63" w:rsidRPr="00EB41A0" w:rsidRDefault="00CB6AD4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Gátlisti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68BC6BF2" w14:textId="50A01055" w:rsidR="007C0F63" w:rsidRPr="00A9636B" w:rsidRDefault="00C636BA" w:rsidP="00D376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Inngangur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að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orðalista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C94F23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DigComp</w:t>
            </w:r>
            <w:proofErr w:type="spellEnd"/>
          </w:p>
          <w:p w14:paraId="0F51CB50" w14:textId="080F5B3E" w:rsidR="007C0F63" w:rsidRPr="00A9636B" w:rsidRDefault="00776AD9" w:rsidP="00D376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Að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setja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up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285948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leiðir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fyrir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F2043E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alþjóðleg</w:t>
            </w:r>
            <w:proofErr w:type="spellEnd"/>
            <w:r w:rsidR="00016F8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016F8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og</w:t>
            </w:r>
            <w:proofErr w:type="spellEnd"/>
            <w:r w:rsidR="00016F8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016F8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utanaðkomandi</w:t>
            </w:r>
            <w:proofErr w:type="spellEnd"/>
            <w:r w:rsidR="00016F8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016F8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samskipti</w:t>
            </w:r>
            <w:proofErr w:type="spellEnd"/>
            <w:r w:rsidR="00016F80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</w:p>
          <w:p w14:paraId="0100338E" w14:textId="22887A29" w:rsidR="007C0F63" w:rsidRDefault="00016F80" w:rsidP="00D376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Að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bera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kennsl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á, </w:t>
            </w:r>
            <w:proofErr w:type="spellStart"/>
            <w:r w:rsidR="00FD7D8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stjórna</w:t>
            </w:r>
            <w:proofErr w:type="spellEnd"/>
            <w:r w:rsidR="00FD7D8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D37667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samskiptum</w:t>
            </w:r>
            <w:proofErr w:type="spellEnd"/>
            <w:r w:rsidR="00D37667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FD7D8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og</w:t>
            </w:r>
            <w:proofErr w:type="spellEnd"/>
            <w:r w:rsidR="00AB036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AB036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virkja</w:t>
            </w:r>
            <w:proofErr w:type="spellEnd"/>
            <w:r w:rsidR="00AB036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AB036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hagsmunaaðila</w:t>
            </w:r>
            <w:proofErr w:type="spellEnd"/>
          </w:p>
          <w:p w14:paraId="2095DC68" w14:textId="5EEFB840" w:rsidR="00C94F23" w:rsidRPr="00C94F23" w:rsidRDefault="00C94F23" w:rsidP="00D376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Net</w:t>
            </w:r>
            <w:r w:rsidR="00D37667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siðir</w:t>
            </w:r>
            <w:proofErr w:type="spellEnd"/>
          </w:p>
          <w:p w14:paraId="0B2C25CF" w14:textId="016BF4AD" w:rsidR="007C0F63" w:rsidRPr="00C94F23" w:rsidRDefault="004D1010" w:rsidP="00D376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Að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fylgjast</w:t>
            </w:r>
            <w:proofErr w:type="spellEnd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með</w:t>
            </w:r>
            <w:proofErr w:type="spellEnd"/>
            <w:r w:rsidR="005B75B4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/</w:t>
            </w:r>
            <w:proofErr w:type="spellStart"/>
            <w:r w:rsidR="005B75B4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mæla</w:t>
            </w:r>
            <w:proofErr w:type="spellEnd"/>
            <w:r w:rsidR="005B75B4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5B75B4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og</w:t>
            </w:r>
            <w:proofErr w:type="spellEnd"/>
            <w:r w:rsidR="005B75B4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5B75B4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meta</w:t>
            </w:r>
            <w:proofErr w:type="spellEnd"/>
            <w:r w:rsidR="005B75B4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  <w:proofErr w:type="spellStart"/>
            <w:r w:rsidR="0019012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>samskiptaleiðir</w:t>
            </w:r>
            <w:proofErr w:type="spellEnd"/>
            <w:r w:rsidR="0019012C">
              <w:rPr>
                <w:rFonts w:asciiTheme="minorHAnsi" w:eastAsia="Times New Roman" w:hAnsiTheme="minorHAnsi" w:cstheme="minorHAnsi"/>
                <w:color w:val="266C9F"/>
                <w:lang w:eastAsia="en-GB"/>
              </w:rPr>
              <w:t xml:space="preserve"> </w:t>
            </w:r>
          </w:p>
        </w:tc>
      </w:tr>
      <w:tr w:rsidR="007C0F63" w:rsidRPr="00A9636B" w14:paraId="6E90804A" w14:textId="77777777" w:rsidTr="3E17E4D9">
        <w:tc>
          <w:tcPr>
            <w:tcW w:w="2716" w:type="dxa"/>
            <w:shd w:val="clear" w:color="auto" w:fill="4DAE3A"/>
          </w:tcPr>
          <w:p w14:paraId="1FB68D90" w14:textId="615FE748" w:rsidR="007C0F63" w:rsidRPr="00A9636B" w:rsidRDefault="00DC482C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Gögn</w:t>
            </w:r>
            <w:proofErr w:type="spellEnd"/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myndbönd</w:t>
            </w:r>
            <w:proofErr w:type="spellEnd"/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hlekkir</w:t>
            </w:r>
            <w:proofErr w:type="spellEnd"/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)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39618DFA" w14:textId="6A61D10A" w:rsidR="007C0F63" w:rsidRPr="00A9636B" w:rsidRDefault="00D37667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</w:rPr>
              <w:t>Engin</w:t>
            </w:r>
            <w:proofErr w:type="spellEnd"/>
          </w:p>
        </w:tc>
      </w:tr>
      <w:tr w:rsidR="00852C7A" w:rsidRPr="00C94F23" w14:paraId="48E6DD7D" w14:textId="77777777" w:rsidTr="3E17E4D9">
        <w:trPr>
          <w:trHeight w:val="272"/>
        </w:trPr>
        <w:tc>
          <w:tcPr>
            <w:tcW w:w="2716" w:type="dxa"/>
            <w:vMerge w:val="restart"/>
            <w:shd w:val="clear" w:color="auto" w:fill="4DAE3A"/>
          </w:tcPr>
          <w:p w14:paraId="11193AB8" w14:textId="618934D0" w:rsidR="00852C7A" w:rsidRPr="00A9636B" w:rsidRDefault="00DC482C" w:rsidP="007C0F6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Dæmisaga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góðar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star</w:t>
            </w:r>
            <w:r w:rsidR="00F23F78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fsvenjur</w:t>
            </w:r>
            <w:proofErr w:type="spellEnd"/>
            <w:r w:rsidR="00895B9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/</w:t>
            </w:r>
            <w:proofErr w:type="spellStart"/>
            <w:r w:rsidR="00895B9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vitnisburður</w:t>
            </w:r>
            <w:proofErr w:type="spellEnd"/>
          </w:p>
        </w:tc>
        <w:tc>
          <w:tcPr>
            <w:tcW w:w="1957" w:type="dxa"/>
            <w:shd w:val="clear" w:color="auto" w:fill="266C9F"/>
          </w:tcPr>
          <w:p w14:paraId="492E00D5" w14:textId="6F04A00F" w:rsidR="00852C7A" w:rsidRPr="00A9636B" w:rsidRDefault="0019012C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Nafn</w:t>
            </w:r>
            <w:proofErr w:type="spellEnd"/>
            <w:r w:rsidR="00852C7A" w:rsidRPr="00A9636B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ab/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0FEE6D61" w14:textId="02884C20" w:rsidR="00852C7A" w:rsidRPr="00C94F23" w:rsidRDefault="00B16F66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FF000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lang w:val="en-US"/>
              </w:rPr>
              <w:t>Sjá</w:t>
            </w:r>
            <w:proofErr w:type="spellEnd"/>
            <w:r>
              <w:rPr>
                <w:rFonts w:asciiTheme="minorHAnsi" w:hAnsiTheme="minorHAnsi" w:cstheme="minorHAnsi"/>
                <w:color w:val="FF0000"/>
                <w:lang w:val="en-US"/>
              </w:rPr>
              <w:t xml:space="preserve"> PPT</w:t>
            </w:r>
          </w:p>
        </w:tc>
      </w:tr>
      <w:tr w:rsidR="00852C7A" w:rsidRPr="00A9636B" w14:paraId="30AA8ED9" w14:textId="77777777" w:rsidTr="3E17E4D9">
        <w:trPr>
          <w:trHeight w:val="272"/>
        </w:trPr>
        <w:tc>
          <w:tcPr>
            <w:tcW w:w="2716" w:type="dxa"/>
            <w:vMerge/>
          </w:tcPr>
          <w:p w14:paraId="17CC5EE6" w14:textId="77777777" w:rsidR="00852C7A" w:rsidRPr="00A9636B" w:rsidRDefault="00852C7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7473EFB6" w14:textId="76B13A54" w:rsidR="00852C7A" w:rsidRPr="00A9636B" w:rsidRDefault="0019012C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L</w:t>
            </w:r>
            <w:r w:rsidR="008766E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ýsing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2C401F14" w14:textId="77777777" w:rsidR="00852C7A" w:rsidRDefault="00852C7A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  <w:p w14:paraId="002A2AA6" w14:textId="77777777" w:rsidR="00F3209E" w:rsidRDefault="00F3209E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  <w:p w14:paraId="16615FF2" w14:textId="32F51B6E" w:rsidR="00F3209E" w:rsidRPr="00A9636B" w:rsidRDefault="00F3209E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852C7A" w:rsidRPr="00A9636B" w14:paraId="0DED46E9" w14:textId="77777777" w:rsidTr="3E17E4D9">
        <w:trPr>
          <w:trHeight w:val="533"/>
        </w:trPr>
        <w:tc>
          <w:tcPr>
            <w:tcW w:w="2716" w:type="dxa"/>
            <w:vMerge/>
          </w:tcPr>
          <w:p w14:paraId="1A36DCB2" w14:textId="77777777" w:rsidR="00852C7A" w:rsidRPr="00A9636B" w:rsidRDefault="00852C7A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957" w:type="dxa"/>
            <w:shd w:val="clear" w:color="auto" w:fill="266C9F"/>
          </w:tcPr>
          <w:p w14:paraId="5690F203" w14:textId="17B16339" w:rsidR="00852C7A" w:rsidRPr="00A9636B" w:rsidRDefault="00D756F3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Áhugaverðir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hlekkir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14:paraId="45BD658A" w14:textId="078D660F" w:rsidR="00852C7A" w:rsidRPr="00A9636B" w:rsidRDefault="00852C7A" w:rsidP="00852C7A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7C0F63" w:rsidRPr="00A9636B" w14:paraId="3096AA6D" w14:textId="77777777" w:rsidTr="3E17E4D9">
        <w:tc>
          <w:tcPr>
            <w:tcW w:w="2716" w:type="dxa"/>
            <w:shd w:val="clear" w:color="auto" w:fill="4DAE3A"/>
          </w:tcPr>
          <w:p w14:paraId="38969A3C" w14:textId="536B8990" w:rsidR="007C0F63" w:rsidRPr="00A9636B" w:rsidRDefault="00895B91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Tungumál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04A7B350" w14:textId="0C9CD49E" w:rsidR="007C0F63" w:rsidRPr="00A9636B" w:rsidRDefault="00D756F3" w:rsidP="007C0F6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</w:rPr>
              <w:t>ÍSL</w:t>
            </w:r>
          </w:p>
        </w:tc>
      </w:tr>
      <w:tr w:rsidR="009A5626" w:rsidRPr="00E86B56" w14:paraId="12441977" w14:textId="77777777" w:rsidTr="3E17E4D9">
        <w:trPr>
          <w:trHeight w:val="48"/>
        </w:trPr>
        <w:tc>
          <w:tcPr>
            <w:tcW w:w="2716" w:type="dxa"/>
            <w:vMerge w:val="restart"/>
            <w:shd w:val="clear" w:color="auto" w:fill="4DAE3A"/>
            <w:vAlign w:val="center"/>
          </w:tcPr>
          <w:p w14:paraId="7D96E38B" w14:textId="118DE7D8" w:rsidR="00C15B17" w:rsidRPr="00A9636B" w:rsidRDefault="00500EA0" w:rsidP="00C15B17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  <w:t>Viðfangsefni</w:t>
            </w:r>
            <w:proofErr w:type="spellEnd"/>
          </w:p>
          <w:p w14:paraId="069D2A4B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s-E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14C3F9F7" w14:textId="607CADE9" w:rsidR="009A5626" w:rsidRPr="00987F0A" w:rsidRDefault="00987F0A" w:rsidP="00987F0A">
            <w:pPr>
              <w:pStyle w:val="NormalWeb"/>
              <w:rPr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“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Hvað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hvar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og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hvernig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”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óáþreifanleg</w:t>
            </w:r>
            <w:r w:rsidR="00E64D14"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s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menningararf</w:t>
            </w:r>
            <w:r w:rsidR="00E64D14"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s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Að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skilja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fimm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svið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óáþreifanlegs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menningararfs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birtingarmyndir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og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framsetningu</w:t>
            </w:r>
            <w:proofErr w:type="spellEnd"/>
            <w:r>
              <w:rPr>
                <w:rFonts w:ascii="Segoe UI" w:hAnsi="Segoe UI" w:cs="Segoe UI"/>
                <w:color w:val="266C9F"/>
                <w:sz w:val="22"/>
                <w:szCs w:val="22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266C9F"/>
          </w:tcPr>
          <w:p w14:paraId="566C429B" w14:textId="174031D2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38E66D0F" w14:textId="77777777" w:rsidTr="3E17E4D9">
        <w:trPr>
          <w:trHeight w:val="48"/>
        </w:trPr>
        <w:tc>
          <w:tcPr>
            <w:tcW w:w="2716" w:type="dxa"/>
            <w:vMerge/>
            <w:vAlign w:val="center"/>
          </w:tcPr>
          <w:p w14:paraId="3FE480F6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75F6C714" w14:textId="64E056AE" w:rsidR="009A5626" w:rsidRPr="008F5706" w:rsidRDefault="008F5706" w:rsidP="008F5706">
            <w:pPr>
              <w:spacing w:after="0"/>
              <w:rPr>
                <w:rFonts w:asciiTheme="minorHAnsi" w:hAnsiTheme="minorHAnsi" w:cstheme="minorBidi"/>
                <w:color w:val="266C9F"/>
                <w:lang w:val="en-GB"/>
              </w:rPr>
            </w:pPr>
            <w:proofErr w:type="spellStart"/>
            <w:r w:rsidRPr="008F5706">
              <w:rPr>
                <w:rFonts w:asciiTheme="minorHAnsi" w:hAnsiTheme="minorHAnsi" w:cstheme="minorBidi"/>
                <w:color w:val="266C9F"/>
                <w:lang w:val="en-GB"/>
              </w:rPr>
              <w:t>Lykilatriði</w:t>
            </w:r>
            <w:proofErr w:type="spellEnd"/>
            <w:r w:rsidRPr="008F5706">
              <w:rPr>
                <w:rFonts w:asciiTheme="minorHAnsi" w:hAnsiTheme="minorHAnsi" w:cstheme="minorBidi"/>
                <w:color w:val="266C9F"/>
                <w:lang w:val="en-GB"/>
              </w:rPr>
              <w:t xml:space="preserve"> </w:t>
            </w:r>
            <w:proofErr w:type="spellStart"/>
            <w:r w:rsidRPr="008F5706">
              <w:rPr>
                <w:rFonts w:asciiTheme="minorHAnsi" w:hAnsiTheme="minorHAnsi" w:cstheme="minorBidi"/>
                <w:color w:val="266C9F"/>
                <w:lang w:val="en-GB"/>
              </w:rPr>
              <w:t>verndunar</w:t>
            </w:r>
            <w:proofErr w:type="spellEnd"/>
            <w:r w:rsidRPr="008F5706">
              <w:rPr>
                <w:rFonts w:asciiTheme="minorHAnsi" w:hAnsiTheme="minorHAnsi" w:cstheme="minorBidi"/>
                <w:color w:val="266C9F"/>
                <w:lang w:val="en-GB"/>
              </w:rPr>
              <w:t xml:space="preserve"> </w:t>
            </w:r>
            <w:proofErr w:type="spellStart"/>
            <w:r w:rsidRPr="008F5706">
              <w:rPr>
                <w:rFonts w:asciiTheme="minorHAnsi" w:hAnsiTheme="minorHAnsi" w:cstheme="minorBidi"/>
                <w:color w:val="266C9F"/>
                <w:lang w:val="en-GB"/>
              </w:rPr>
              <w:t>óáþreifanlegs</w:t>
            </w:r>
            <w:proofErr w:type="spellEnd"/>
            <w:r w:rsidRPr="008F5706">
              <w:rPr>
                <w:rFonts w:asciiTheme="minorHAnsi" w:hAnsiTheme="minorHAnsi" w:cstheme="minorBidi"/>
                <w:color w:val="266C9F"/>
                <w:lang w:val="en-GB"/>
              </w:rPr>
              <w:t xml:space="preserve"> </w:t>
            </w:r>
            <w:proofErr w:type="spellStart"/>
            <w:r w:rsidRPr="008F5706">
              <w:rPr>
                <w:rFonts w:asciiTheme="minorHAnsi" w:hAnsiTheme="minorHAnsi" w:cstheme="minorBidi"/>
                <w:color w:val="266C9F"/>
                <w:lang w:val="en-GB"/>
              </w:rPr>
              <w:t>menningararfs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14:paraId="3C342E71" w14:textId="592184F6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E86B56" w14:paraId="3AC945DF" w14:textId="77777777" w:rsidTr="3E17E4D9">
        <w:trPr>
          <w:trHeight w:val="48"/>
        </w:trPr>
        <w:tc>
          <w:tcPr>
            <w:tcW w:w="2716" w:type="dxa"/>
            <w:vMerge/>
            <w:vAlign w:val="center"/>
          </w:tcPr>
          <w:p w14:paraId="7AF2A147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468E38B0" w14:textId="6F2411C8" w:rsidR="009A5626" w:rsidRPr="001D14EB" w:rsidRDefault="000523CA" w:rsidP="001D14EB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Að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opna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á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félags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-</w:t>
            </w:r>
            <w:r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66C9F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efnahagslega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möguleika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óáþreifanlegs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menningararfs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: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Hvernig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á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að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nýta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óefnislega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þætti</w:t>
            </w:r>
            <w:proofErr w:type="spellEnd"/>
            <w:r w:rsidRPr="000523CA">
              <w:rPr>
                <w:rFonts w:asciiTheme="minorHAnsi" w:hAnsiTheme="minorHAnsi" w:cstheme="minorHAnsi"/>
                <w:color w:val="266C9F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266C9F"/>
          </w:tcPr>
          <w:p w14:paraId="49220FE9" w14:textId="0541C0CD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33E457F4" w14:textId="77777777" w:rsidTr="3E17E4D9">
        <w:trPr>
          <w:trHeight w:val="48"/>
        </w:trPr>
        <w:tc>
          <w:tcPr>
            <w:tcW w:w="2716" w:type="dxa"/>
            <w:vMerge/>
            <w:vAlign w:val="center"/>
          </w:tcPr>
          <w:p w14:paraId="568A48E3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BE32CFC" w14:textId="3F61E3A0" w:rsidR="009A5626" w:rsidRPr="00BD3F50" w:rsidRDefault="00BD3F50" w:rsidP="00BD3F50">
            <w:pPr>
              <w:spacing w:after="0" w:line="240" w:lineRule="auto"/>
              <w:rPr>
                <w:rFonts w:ascii="Times New Roman" w:eastAsia="Times New Roman" w:hAnsi="Times New Roman"/>
                <w:lang w:val="en-IS"/>
              </w:rPr>
            </w:pPr>
            <w:proofErr w:type="spellStart"/>
            <w:r>
              <w:rPr>
                <w:rFonts w:ascii="Segoe UI" w:hAnsi="Segoe UI" w:cs="Segoe UI"/>
                <w:color w:val="266C9F"/>
                <w:shd w:val="clear" w:color="auto" w:fill="FFFFFF"/>
              </w:rPr>
              <w:t>Samskipti</w:t>
            </w:r>
            <w:proofErr w:type="spellEnd"/>
            <w:r>
              <w:rPr>
                <w:rFonts w:ascii="Segoe UI" w:hAnsi="Segoe UI" w:cs="Segoe UI"/>
                <w:color w:val="266C9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hd w:val="clear" w:color="auto" w:fill="FFFFFF"/>
              </w:rPr>
              <w:t>og</w:t>
            </w:r>
            <w:proofErr w:type="spellEnd"/>
            <w:r>
              <w:rPr>
                <w:rFonts w:ascii="Segoe UI" w:hAnsi="Segoe UI" w:cs="Segoe UI"/>
                <w:color w:val="266C9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6C9F"/>
                <w:shd w:val="clear" w:color="auto" w:fill="FFFFFF"/>
              </w:rPr>
              <w:t>þekkingarmiðlun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14:paraId="121B143E" w14:textId="2E722431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598A5102" w14:textId="77777777" w:rsidTr="3E17E4D9">
        <w:trPr>
          <w:trHeight w:val="48"/>
        </w:trPr>
        <w:tc>
          <w:tcPr>
            <w:tcW w:w="2716" w:type="dxa"/>
            <w:vMerge/>
            <w:vAlign w:val="center"/>
          </w:tcPr>
          <w:p w14:paraId="5A0F05C7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502ECCC3" w14:textId="778DA795" w:rsidR="009A5626" w:rsidRPr="00100E97" w:rsidRDefault="0068544E" w:rsidP="00100E9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266C9F"/>
                <w:lang w:val="en-GB"/>
              </w:rPr>
              <w:t>Fjármála</w:t>
            </w:r>
            <w:proofErr w:type="spellEnd"/>
            <w:r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66C9F"/>
                <w:lang w:val="en-GB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66C9F"/>
                <w:lang w:val="en-GB"/>
              </w:rPr>
              <w:t>stjórnunarhæfni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14:paraId="0D5D90D7" w14:textId="6B8B0AEB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E86B56" w14:paraId="5B7D6780" w14:textId="77777777" w:rsidTr="3E17E4D9">
        <w:trPr>
          <w:trHeight w:val="48"/>
        </w:trPr>
        <w:tc>
          <w:tcPr>
            <w:tcW w:w="2716" w:type="dxa"/>
            <w:vMerge/>
            <w:vAlign w:val="center"/>
          </w:tcPr>
          <w:p w14:paraId="2A52AFD1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770C038" w14:textId="13AB53E2" w:rsidR="009A5626" w:rsidRPr="001D2803" w:rsidRDefault="001D2803" w:rsidP="001D2803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 w:rsidRPr="001D2803">
              <w:rPr>
                <w:rFonts w:asciiTheme="minorHAnsi" w:hAnsiTheme="minorHAnsi" w:cstheme="minorHAnsi"/>
                <w:color w:val="266C9F"/>
                <w:lang w:val="en-GB"/>
              </w:rPr>
              <w:t>Stefnumó</w:t>
            </w:r>
            <w:r w:rsidR="00C11C64">
              <w:rPr>
                <w:rFonts w:asciiTheme="minorHAnsi" w:hAnsiTheme="minorHAnsi" w:cstheme="minorHAnsi"/>
                <w:color w:val="266C9F"/>
                <w:lang w:val="en-GB"/>
              </w:rPr>
              <w:t>t</w:t>
            </w:r>
            <w:r w:rsidR="00100E97">
              <w:rPr>
                <w:rFonts w:asciiTheme="minorHAnsi" w:hAnsiTheme="minorHAnsi" w:cstheme="minorHAnsi"/>
                <w:color w:val="266C9F"/>
                <w:lang w:val="en-GB"/>
              </w:rPr>
              <w:t>un</w:t>
            </w:r>
            <w:proofErr w:type="spellEnd"/>
            <w:r w:rsidRPr="001D2803">
              <w:rPr>
                <w:rFonts w:asciiTheme="minorHAnsi" w:hAnsiTheme="minorHAnsi" w:cstheme="minorHAnsi"/>
                <w:color w:val="266C9F"/>
                <w:lang w:val="en-GB"/>
              </w:rPr>
              <w:t xml:space="preserve">, </w:t>
            </w:r>
            <w:proofErr w:type="spellStart"/>
            <w:r w:rsidRPr="001D2803">
              <w:rPr>
                <w:rFonts w:asciiTheme="minorHAnsi" w:hAnsiTheme="minorHAnsi" w:cstheme="minorHAnsi"/>
                <w:color w:val="266C9F"/>
                <w:lang w:val="en-GB"/>
              </w:rPr>
              <w:t>hugsun</w:t>
            </w:r>
            <w:proofErr w:type="spellEnd"/>
            <w:r w:rsidR="0038273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38273A">
              <w:rPr>
                <w:rFonts w:asciiTheme="minorHAnsi" w:hAnsiTheme="minorHAnsi" w:cstheme="minorHAnsi"/>
                <w:color w:val="266C9F"/>
                <w:lang w:val="en-GB"/>
              </w:rPr>
              <w:t>til</w:t>
            </w:r>
            <w:proofErr w:type="spellEnd"/>
            <w:r w:rsidR="0038273A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38273A">
              <w:rPr>
                <w:rFonts w:asciiTheme="minorHAnsi" w:hAnsiTheme="minorHAnsi" w:cstheme="minorHAnsi"/>
                <w:color w:val="266C9F"/>
                <w:lang w:val="en-GB"/>
              </w:rPr>
              <w:t>framtíðar</w:t>
            </w:r>
            <w:proofErr w:type="spellEnd"/>
            <w:r w:rsidRPr="001D2803">
              <w:rPr>
                <w:rFonts w:asciiTheme="minorHAnsi" w:hAnsiTheme="minorHAnsi" w:cstheme="minorHAnsi"/>
                <w:color w:val="266C9F"/>
                <w:lang w:val="en-GB"/>
              </w:rPr>
              <w:t xml:space="preserve">, </w:t>
            </w:r>
            <w:proofErr w:type="spellStart"/>
            <w:r w:rsidRPr="001D2803">
              <w:rPr>
                <w:rFonts w:asciiTheme="minorHAnsi" w:hAnsiTheme="minorHAnsi" w:cstheme="minorHAnsi"/>
                <w:color w:val="266C9F"/>
                <w:lang w:val="en-GB"/>
              </w:rPr>
              <w:t>sameiginleg</w:t>
            </w:r>
            <w:proofErr w:type="spellEnd"/>
            <w:r w:rsidRPr="001D2803"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BB23E4">
              <w:rPr>
                <w:rFonts w:asciiTheme="minorHAnsi" w:hAnsiTheme="minorHAnsi" w:cstheme="minorHAnsi"/>
                <w:color w:val="266C9F"/>
                <w:lang w:val="en-GB"/>
              </w:rPr>
              <w:t>forysta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14:paraId="412FA298" w14:textId="1A73CC49" w:rsidR="009A5626" w:rsidRPr="00A9636B" w:rsidRDefault="009A5626" w:rsidP="009A5626">
            <w:pPr>
              <w:pStyle w:val="ListParagraph"/>
              <w:spacing w:after="0"/>
              <w:ind w:left="1068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9A5626" w:rsidRPr="00A9636B" w14:paraId="6C5395F8" w14:textId="77777777" w:rsidTr="3E17E4D9">
        <w:trPr>
          <w:trHeight w:val="48"/>
        </w:trPr>
        <w:tc>
          <w:tcPr>
            <w:tcW w:w="2716" w:type="dxa"/>
            <w:vMerge/>
            <w:vAlign w:val="center"/>
          </w:tcPr>
          <w:p w14:paraId="74F881DF" w14:textId="77777777" w:rsidR="009A5626" w:rsidRPr="00A9636B" w:rsidRDefault="009A5626" w:rsidP="007C0F63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6068" w:type="dxa"/>
            <w:gridSpan w:val="2"/>
            <w:shd w:val="clear" w:color="auto" w:fill="FFFFFF" w:themeFill="background1"/>
          </w:tcPr>
          <w:p w14:paraId="677BFBB2" w14:textId="7CB23DBF" w:rsidR="009A5626" w:rsidRPr="00A9636B" w:rsidRDefault="007B76C9" w:rsidP="00C15B17">
            <w:pPr>
              <w:spacing w:after="0"/>
              <w:rPr>
                <w:rFonts w:asciiTheme="minorHAnsi" w:hAnsiTheme="minorHAnsi" w:cstheme="minorHAnsi"/>
                <w:color w:val="266C9F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266C9F"/>
                <w:lang w:val="en-GB"/>
              </w:rPr>
              <w:t>Stafræn</w:t>
            </w:r>
            <w:proofErr w:type="spellEnd"/>
            <w:r>
              <w:rPr>
                <w:rFonts w:asciiTheme="minorHAnsi" w:hAnsiTheme="minorHAnsi" w:cstheme="minorHAnsi"/>
                <w:color w:val="266C9F"/>
                <w:lang w:val="en-GB"/>
              </w:rPr>
              <w:t xml:space="preserve"> </w:t>
            </w:r>
            <w:proofErr w:type="spellStart"/>
            <w:r w:rsidR="00100E97">
              <w:rPr>
                <w:rFonts w:asciiTheme="minorHAnsi" w:hAnsiTheme="minorHAnsi" w:cstheme="minorHAnsi"/>
                <w:color w:val="266C9F"/>
                <w:lang w:val="en-GB"/>
              </w:rPr>
              <w:t>færni</w:t>
            </w:r>
            <w:proofErr w:type="spellEnd"/>
          </w:p>
        </w:tc>
        <w:tc>
          <w:tcPr>
            <w:tcW w:w="567" w:type="dxa"/>
            <w:shd w:val="clear" w:color="auto" w:fill="266C9F"/>
          </w:tcPr>
          <w:p w14:paraId="7C9B492F" w14:textId="1184A8A0" w:rsidR="009A5626" w:rsidRPr="00C94F23" w:rsidRDefault="00C94F23" w:rsidP="00C94F23">
            <w:pPr>
              <w:spacing w:after="0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C94F23">
              <w:rPr>
                <w:rFonts w:asciiTheme="minorHAnsi" w:hAnsiTheme="minorHAnsi" w:cstheme="minorHAnsi"/>
                <w:color w:val="FFFFFF" w:themeColor="background1"/>
                <w:lang w:val="en-GB"/>
              </w:rPr>
              <w:t>X</w:t>
            </w:r>
          </w:p>
        </w:tc>
      </w:tr>
      <w:tr w:rsidR="007C0F63" w:rsidRPr="003449DC" w14:paraId="10E6C7DB" w14:textId="77777777" w:rsidTr="3E17E4D9">
        <w:tc>
          <w:tcPr>
            <w:tcW w:w="2716" w:type="dxa"/>
            <w:shd w:val="clear" w:color="auto" w:fill="4DAE3A"/>
            <w:vAlign w:val="center"/>
          </w:tcPr>
          <w:p w14:paraId="0D8572CB" w14:textId="6564B778" w:rsidR="007C0F63" w:rsidRPr="00A9636B" w:rsidRDefault="008D11B9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Orðalisti</w:t>
            </w:r>
            <w:proofErr w:type="spellEnd"/>
            <w:r w:rsidR="007C0F63" w:rsidRPr="00A9636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74727E60" w14:textId="77777777" w:rsidR="0098372C" w:rsidRDefault="0098372C" w:rsidP="003449DC">
            <w:pPr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</w:pPr>
            <w:proofErr w:type="spellStart"/>
            <w:r w:rsidRPr="0098372C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Viðhorf</w:t>
            </w:r>
            <w:proofErr w:type="spellEnd"/>
            <w:r w:rsidRPr="0098372C"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: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Viðhorf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eru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hvatning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til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frammistöðu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.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Þau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fela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sér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gildi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vonir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og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forgangsröðun</w:t>
            </w:r>
            <w:proofErr w:type="spellEnd"/>
            <w:r w:rsidRPr="0098372C">
              <w:rPr>
                <w:rFonts w:asciiTheme="minorHAnsi" w:hAnsiTheme="minorHAnsi" w:cstheme="minorHAnsi"/>
                <w:bCs/>
                <w:color w:val="1F3864" w:themeColor="accent1" w:themeShade="80"/>
                <w:lang w:val="es-ES"/>
              </w:rPr>
              <w:t>.</w:t>
            </w:r>
          </w:p>
          <w:p w14:paraId="2609E15D" w14:textId="0C0406FD" w:rsidR="007C0F63" w:rsidRDefault="004432EE" w:rsidP="003449DC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Hæfni</w:t>
            </w:r>
            <w:proofErr w:type="spellEnd"/>
            <w:r w:rsidR="003449D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: </w:t>
            </w:r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Í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samhengi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DigComp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hæfni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skilin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safn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þekkingar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færni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viðhorfa</w:t>
            </w:r>
            <w:proofErr w:type="spellEnd"/>
            <w:r w:rsidRPr="004432EE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.</w:t>
            </w:r>
          </w:p>
          <w:p w14:paraId="156E20B3" w14:textId="04DA5DF0" w:rsidR="003449DC" w:rsidRDefault="004432EE" w:rsidP="003449DC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Hagaðilar</w:t>
            </w:r>
            <w:proofErr w:type="spellEnd"/>
            <w:r w:rsidR="003449D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:</w:t>
            </w:r>
            <w:r w:rsidR="003449DC" w:rsidRPr="003449D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Hagaðilar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eru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einstaklingar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hópar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stofnanir</w:t>
            </w:r>
            <w:proofErr w:type="spellEnd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með</w:t>
            </w:r>
            <w:proofErr w:type="spellEnd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beinan</w:t>
            </w:r>
            <w:proofErr w:type="spellEnd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óbeinan</w:t>
            </w:r>
            <w:proofErr w:type="spellEnd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182D6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áhuga</w:t>
            </w:r>
            <w:proofErr w:type="spellEnd"/>
            <w:r w:rsidR="00C55CF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á </w:t>
            </w:r>
            <w:proofErr w:type="spellStart"/>
            <w:r w:rsidR="00BB7E70" w:rsidRP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verðmætaskapandi</w:t>
            </w:r>
            <w:proofErr w:type="spellEnd"/>
            <w:r w:rsidR="00BB7E70" w:rsidRP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B7E70" w:rsidRP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starfsemi</w:t>
            </w:r>
            <w:proofErr w:type="spellEnd"/>
            <w:r w:rsid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áhrifum</w:t>
            </w:r>
            <w:proofErr w:type="spellEnd"/>
            <w:r w:rsid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hennar</w:t>
            </w:r>
            <w:proofErr w:type="spellEnd"/>
            <w:r w:rsidR="00BB7E70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  <w:p w14:paraId="63C3270D" w14:textId="62BD162A" w:rsidR="003449DC" w:rsidRDefault="004C0A71" w:rsidP="003449DC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Stafrænt</w:t>
            </w:r>
            <w:proofErr w:type="spellEnd"/>
            <w: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frumkvöðlastarf</w:t>
            </w:r>
            <w:proofErr w:type="spellEnd"/>
            <w:r w:rsidR="003449D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Stafrænt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frumkvöðlastarf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frumkvöðlastarf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sem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felur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sér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notkun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á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stafrænni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tækni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sér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lagi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samfélagsmiðla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="0046469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gríðargögn</w:t>
            </w:r>
            <w:proofErr w:type="spellEnd"/>
            <w:r w:rsidR="0046469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="00497437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farsíma</w:t>
            </w:r>
            <w:proofErr w:type="spellEnd"/>
            <w:r w:rsidR="00497437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-</w:t>
            </w:r>
            <w:r w:rsidR="00C03F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C03F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C03F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C03F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skýlausnir</w:t>
            </w:r>
            <w:proofErr w:type="spellEnd"/>
            <w:r w:rsidR="00C03F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)</w:t>
            </w:r>
            <w:r w:rsidR="009312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</w:t>
            </w:r>
            <w:proofErr w:type="spellStart"/>
            <w:r w:rsidR="009312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Tilgangur</w:t>
            </w:r>
            <w:proofErr w:type="spellEnd"/>
            <w:r w:rsidR="009312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9B65E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þessarar</w:t>
            </w:r>
            <w:proofErr w:type="spellEnd"/>
            <w:r w:rsidR="009B65E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9B65EF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notkunar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11E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get</w:t>
            </w:r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ur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11E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verið</w:t>
            </w:r>
            <w:proofErr w:type="spellEnd"/>
            <w:r w:rsidR="00411E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11E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 w:rsidR="00411E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411E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bæta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rekstur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fyrirtækja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finna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upp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ný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viðskiptamódel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bæta</w:t>
            </w:r>
            <w:proofErr w:type="spellEnd"/>
            <w:r w:rsidR="0055527A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viðskiptagreind</w:t>
            </w:r>
            <w:proofErr w:type="spellEnd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eða</w:t>
            </w:r>
            <w:proofErr w:type="spellEnd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eiga</w:t>
            </w:r>
            <w:proofErr w:type="spellEnd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03007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samskipti</w:t>
            </w:r>
            <w:proofErr w:type="spellEnd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</w:t>
            </w:r>
            <w:proofErr w:type="spellEnd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viðskiptavini</w:t>
            </w:r>
            <w:proofErr w:type="spellEnd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hagaðila</w:t>
            </w:r>
            <w:proofErr w:type="spellEnd"/>
            <w:r w:rsidR="00B66DE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. </w:t>
            </w:r>
            <w:r w:rsidR="00411E8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  <w:p w14:paraId="539186A2" w14:textId="6CBF019E" w:rsidR="003449DC" w:rsidRPr="00A9636B" w:rsidRDefault="00B66DE4" w:rsidP="003449DC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Stafrænt</w:t>
            </w:r>
            <w:proofErr w:type="spellEnd"/>
            <w: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  <w:t>læsi</w:t>
            </w:r>
            <w:proofErr w:type="spellEnd"/>
            <w:r w:rsidR="003449D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: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Í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samhengi</w:t>
            </w:r>
            <w:proofErr w:type="spellEnd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við</w:t>
            </w:r>
            <w:proofErr w:type="spellEnd"/>
            <w:r w:rsidR="003449D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449D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DigComp</w:t>
            </w:r>
            <w:proofErr w:type="spellEnd"/>
            <w:r w:rsidR="0031389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1389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vísar</w:t>
            </w:r>
            <w:proofErr w:type="spellEnd"/>
            <w:r w:rsidR="0031389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1389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stafræn</w:t>
            </w:r>
            <w:proofErr w:type="spellEnd"/>
            <w:r w:rsidR="00313894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7610F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færni</w:t>
            </w:r>
            <w:proofErr w:type="spellEnd"/>
            <w:r w:rsidR="007610F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7610F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til</w:t>
            </w:r>
            <w:proofErr w:type="spellEnd"/>
            <w:r w:rsidR="007610F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kunnáttu</w:t>
            </w:r>
            <w:proofErr w:type="spellEnd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einstaklings</w:t>
            </w:r>
            <w:proofErr w:type="spellEnd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í </w:t>
            </w:r>
            <w:proofErr w:type="spellStart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upplýsingatæknikerfum</w:t>
            </w:r>
            <w:proofErr w:type="spellEnd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v</w:t>
            </w:r>
            <w:r w:rsidR="0010443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er</w:t>
            </w:r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kfærum</w:t>
            </w:r>
            <w:proofErr w:type="spellEnd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stafrænni</w:t>
            </w:r>
            <w:proofErr w:type="spellEnd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E13F9D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færni</w:t>
            </w:r>
            <w:proofErr w:type="spellEnd"/>
            <w:r w:rsidR="003449D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hæfni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hans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til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að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rannsaka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,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afkóða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og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túlka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gögn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á </w:t>
            </w:r>
            <w:proofErr w:type="spellStart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netinu</w:t>
            </w:r>
            <w:proofErr w:type="spellEnd"/>
            <w:r w:rsidR="003C4AB1" w:rsidRPr="003C4AB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.</w:t>
            </w:r>
          </w:p>
        </w:tc>
      </w:tr>
      <w:tr w:rsidR="007C0F63" w:rsidRPr="00C94F23" w14:paraId="72AA9107" w14:textId="77777777" w:rsidTr="3E17E4D9">
        <w:tc>
          <w:tcPr>
            <w:tcW w:w="2716" w:type="dxa"/>
            <w:shd w:val="clear" w:color="auto" w:fill="4DAE3A"/>
          </w:tcPr>
          <w:p w14:paraId="008DE1CC" w14:textId="14BC16FA" w:rsidR="007C0F63" w:rsidRPr="00A9636B" w:rsidRDefault="001855C7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Heimildaskrá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502C3CC2" w14:textId="22D6A04C" w:rsidR="00C94F23" w:rsidRDefault="002F467A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0" w:history="1">
              <w:r w:rsidR="00C94F23" w:rsidRPr="00981B79">
                <w:rPr>
                  <w:rStyle w:val="Hyperlink"/>
                  <w:rFonts w:asciiTheme="minorHAnsi" w:hAnsiTheme="minorHAnsi" w:cstheme="minorHAnsi"/>
                  <w:lang w:val="es-ES"/>
                </w:rPr>
                <w:t>https://publications.jrc.ec.europa.eu/repository/handle/JRC106281</w:t>
              </w:r>
            </w:hyperlink>
          </w:p>
          <w:p w14:paraId="35788153" w14:textId="77777777" w:rsidR="00C94F23" w:rsidRDefault="002F467A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1" w:history="1">
              <w:r w:rsidR="00C94F23" w:rsidRPr="00981B79">
                <w:rPr>
                  <w:rStyle w:val="Hyperlink"/>
                  <w:rFonts w:asciiTheme="minorHAnsi" w:hAnsiTheme="minorHAnsi" w:cstheme="minorHAnsi"/>
                  <w:lang w:val="es-ES"/>
                </w:rPr>
                <w:t>https://publications.jrc.ec.europa.eu/repository/handle/JRC120376</w:t>
              </w:r>
            </w:hyperlink>
            <w:r w:rsidR="00C94F2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  <w:p w14:paraId="5E1BFC4A" w14:textId="6B8B80A3" w:rsidR="00C94F23" w:rsidRPr="00A9636B" w:rsidRDefault="002F467A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2" w:history="1">
              <w:r w:rsidR="00C94F23" w:rsidRPr="00981B79">
                <w:rPr>
                  <w:rStyle w:val="Hyperlink"/>
                  <w:rFonts w:asciiTheme="minorHAnsi" w:hAnsiTheme="minorHAnsi" w:cstheme="minorHAnsi"/>
                  <w:lang w:val="es-ES"/>
                </w:rPr>
                <w:t>https://publications.jrc.ec.europa.eu/repository/handle/JRC110624</w:t>
              </w:r>
            </w:hyperlink>
            <w:r w:rsidR="00C94F2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</w:p>
        </w:tc>
      </w:tr>
      <w:tr w:rsidR="007C0F63" w:rsidRPr="00A9636B" w14:paraId="2351232E" w14:textId="77777777" w:rsidTr="3E17E4D9">
        <w:tc>
          <w:tcPr>
            <w:tcW w:w="2716" w:type="dxa"/>
            <w:shd w:val="clear" w:color="auto" w:fill="4DAE3A"/>
          </w:tcPr>
          <w:p w14:paraId="148A9F4C" w14:textId="4BE92A07" w:rsidR="007C0F63" w:rsidRPr="00A9636B" w:rsidRDefault="0016380D" w:rsidP="007C0F6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Höfundur</w:t>
            </w:r>
            <w:proofErr w:type="spellEnd"/>
          </w:p>
        </w:tc>
        <w:tc>
          <w:tcPr>
            <w:tcW w:w="6635" w:type="dxa"/>
            <w:gridSpan w:val="3"/>
            <w:shd w:val="clear" w:color="auto" w:fill="FFFFFF" w:themeFill="background1"/>
          </w:tcPr>
          <w:p w14:paraId="250DF3DD" w14:textId="4FDBB83C" w:rsidR="007C0F63" w:rsidRPr="00A9636B" w:rsidRDefault="00EB09D9" w:rsidP="007C0F63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Sveitarf</w:t>
            </w:r>
            <w:r w:rsidR="00A813C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élagið</w:t>
            </w:r>
            <w:proofErr w:type="spellEnd"/>
            <w:r w:rsidR="00A813C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r w:rsidR="00C94F23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Pescara</w:t>
            </w:r>
            <w:r w:rsidR="00A813C6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</w:t>
            </w:r>
            <w:r w:rsidR="004F555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(</w:t>
            </w:r>
            <w:proofErr w:type="spellStart"/>
            <w:r w:rsidR="004F555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C</w:t>
            </w:r>
            <w:r w:rsidR="00441E5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o</w:t>
            </w:r>
            <w:r w:rsidR="004F555B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m</w:t>
            </w:r>
            <w:r w:rsidR="00441E5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une</w:t>
            </w:r>
            <w:proofErr w:type="spellEnd"/>
            <w:r w:rsidR="00441E5C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 xml:space="preserve"> di Pescara)</w:t>
            </w:r>
          </w:p>
        </w:tc>
      </w:tr>
    </w:tbl>
    <w:p w14:paraId="32F2AEDF" w14:textId="3D232161" w:rsidR="00C32D7F" w:rsidRPr="007C0F63" w:rsidRDefault="00C32D7F" w:rsidP="007C0F63">
      <w:pPr>
        <w:rPr>
          <w:lang w:val="es-ES"/>
        </w:rPr>
      </w:pPr>
    </w:p>
    <w:sectPr w:rsidR="00C32D7F" w:rsidRPr="007C0F63" w:rsidSect="00137BB7">
      <w:headerReference w:type="default" r:id="rId13"/>
      <w:footerReference w:type="default" r:id="rId14"/>
      <w:pgSz w:w="11906" w:h="16838"/>
      <w:pgMar w:top="0" w:right="1134" w:bottom="851" w:left="993" w:header="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01DB" w14:textId="77777777" w:rsidR="002F467A" w:rsidRDefault="002F467A" w:rsidP="00137BB7">
      <w:pPr>
        <w:spacing w:after="0" w:line="240" w:lineRule="auto"/>
      </w:pPr>
      <w:r>
        <w:separator/>
      </w:r>
    </w:p>
  </w:endnote>
  <w:endnote w:type="continuationSeparator" w:id="0">
    <w:p w14:paraId="31750F59" w14:textId="77777777" w:rsidR="002F467A" w:rsidRDefault="002F467A" w:rsidP="00137BB7">
      <w:pPr>
        <w:spacing w:after="0" w:line="240" w:lineRule="auto"/>
      </w:pPr>
      <w:r>
        <w:continuationSeparator/>
      </w:r>
    </w:p>
  </w:endnote>
  <w:endnote w:type="continuationNotice" w:id="1">
    <w:p w14:paraId="497337FE" w14:textId="77777777" w:rsidR="002F467A" w:rsidRDefault="002F4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6DA" w14:textId="77777777" w:rsidR="00137BB7" w:rsidRDefault="00137BB7" w:rsidP="00137BB7">
    <w:pPr>
      <w:spacing w:after="0"/>
      <w:ind w:left="-851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</w:p>
  <w:p w14:paraId="25D6238E" w14:textId="77777777" w:rsidR="00137BB7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6"/>
        <w:szCs w:val="16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n-GB" w:eastAsia="en-GB"/>
      </w:rPr>
      <w:drawing>
        <wp:anchor distT="0" distB="0" distL="114300" distR="114300" simplePos="0" relativeHeight="251658241" behindDoc="0" locked="0" layoutInCell="1" allowOverlap="1" wp14:anchorId="25388D7A" wp14:editId="75091EFB">
          <wp:simplePos x="0" y="0"/>
          <wp:positionH relativeFrom="column">
            <wp:posOffset>100965</wp:posOffset>
          </wp:positionH>
          <wp:positionV relativeFrom="paragraph">
            <wp:posOffset>80645</wp:posOffset>
          </wp:positionV>
          <wp:extent cx="1889760" cy="452120"/>
          <wp:effectExtent l="0" t="0" r="0" b="5080"/>
          <wp:wrapSquare wrapText="bothSides"/>
          <wp:docPr id="7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1EC9D1" w14:textId="77777777" w:rsidR="00137BB7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noProof/>
        <w:color w:val="767171" w:themeColor="background2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C19FD2D" wp14:editId="4C128814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7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 xml:space="preserve">With the support of the Erasmus+ </w:t>
    </w:r>
    <w:proofErr w:type="spellStart"/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>programme</w:t>
    </w:r>
    <w:proofErr w:type="spellEnd"/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 xml:space="preserve"> of the European Union. This document and its contents reflect the </w:t>
    </w:r>
  </w:p>
  <w:p w14:paraId="6F31187C" w14:textId="77777777" w:rsidR="00137BB7" w:rsidRPr="00AC3E98" w:rsidRDefault="00137BB7" w:rsidP="00137BB7">
    <w:pPr>
      <w:spacing w:after="0"/>
      <w:ind w:left="-426"/>
      <w:rPr>
        <w:rFonts w:hAnsi="Tw Cen MT"/>
        <w:color w:val="767171" w:themeColor="background2" w:themeShade="80"/>
        <w:kern w:val="24"/>
        <w:sz w:val="14"/>
        <w:szCs w:val="14"/>
        <w:lang w:val="en-US"/>
      </w:rPr>
    </w:pPr>
    <w:r w:rsidRPr="00AC3E98">
      <w:rPr>
        <w:rFonts w:hAnsi="Tw Cen MT"/>
        <w:color w:val="767171" w:themeColor="background2" w:themeShade="80"/>
        <w:kern w:val="24"/>
        <w:sz w:val="14"/>
        <w:szCs w:val="14"/>
        <w:lang w:val="en-US"/>
      </w:rPr>
      <w:t>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00E3" w14:textId="77777777" w:rsidR="002F467A" w:rsidRDefault="002F467A" w:rsidP="00137BB7">
      <w:pPr>
        <w:spacing w:after="0" w:line="240" w:lineRule="auto"/>
      </w:pPr>
      <w:r>
        <w:separator/>
      </w:r>
    </w:p>
  </w:footnote>
  <w:footnote w:type="continuationSeparator" w:id="0">
    <w:p w14:paraId="691F1FEF" w14:textId="77777777" w:rsidR="002F467A" w:rsidRDefault="002F467A" w:rsidP="00137BB7">
      <w:pPr>
        <w:spacing w:after="0" w:line="240" w:lineRule="auto"/>
      </w:pPr>
      <w:r>
        <w:continuationSeparator/>
      </w:r>
    </w:p>
  </w:footnote>
  <w:footnote w:type="continuationNotice" w:id="1">
    <w:p w14:paraId="5ECEC5F7" w14:textId="77777777" w:rsidR="002F467A" w:rsidRDefault="002F46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B94" w14:textId="77777777" w:rsidR="00137BB7" w:rsidRDefault="00137BB7"/>
  <w:tbl>
    <w:tblPr>
      <w:tblStyle w:val="TableGrid"/>
      <w:tblW w:w="1035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  <w:gridCol w:w="6520"/>
    </w:tblGrid>
    <w:tr w:rsidR="00137BB7" w:rsidRPr="00AC3E98" w14:paraId="7983C56A" w14:textId="77777777" w:rsidTr="00137BB7">
      <w:trPr>
        <w:trHeight w:val="983"/>
      </w:trPr>
      <w:tc>
        <w:tcPr>
          <w:tcW w:w="3833" w:type="dxa"/>
          <w:vMerge w:val="restart"/>
        </w:tcPr>
        <w:p w14:paraId="403943F6" w14:textId="77777777" w:rsidR="00137BB7" w:rsidRDefault="00137BB7" w:rsidP="00137BB7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14:paraId="0C3F6A00" w14:textId="77777777" w:rsidR="00137BB7" w:rsidRDefault="00137BB7" w:rsidP="00137BB7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</w:p>
        <w:p w14:paraId="2D00E166" w14:textId="0F8D7F3F" w:rsidR="00137BB7" w:rsidRPr="00773941" w:rsidRDefault="00137BB7" w:rsidP="00137BB7">
          <w:pPr>
            <w:pStyle w:val="Header"/>
            <w:tabs>
              <w:tab w:val="left" w:pos="-1701"/>
            </w:tabs>
            <w:rPr>
              <w:noProof/>
              <w:lang w:val="en-GB"/>
            </w:rPr>
          </w:pPr>
          <w:r w:rsidRPr="00137BB7">
            <w:rPr>
              <w:b/>
              <w:color w:val="44546A" w:themeColor="text2"/>
              <w:sz w:val="28"/>
              <w:szCs w:val="28"/>
              <w:lang w:val="en-US"/>
            </w:rPr>
            <w:t>Nurturing Intangible Cultural Heritage for Entrepreneurship</w:t>
          </w:r>
        </w:p>
      </w:tc>
      <w:tc>
        <w:tcPr>
          <w:tcW w:w="6520" w:type="dxa"/>
        </w:tcPr>
        <w:p w14:paraId="15D3CD9D" w14:textId="0DB0C796" w:rsidR="00137BB7" w:rsidRPr="00AC3E98" w:rsidRDefault="00137BB7" w:rsidP="00137BB7">
          <w:pPr>
            <w:pStyle w:val="Header"/>
            <w:tabs>
              <w:tab w:val="left" w:pos="-1701"/>
            </w:tabs>
            <w:rPr>
              <w:lang w:val="en-GB"/>
            </w:rPr>
          </w:pPr>
          <w:r>
            <w:rPr>
              <w:noProof/>
              <w:lang w:val="en-GB"/>
            </w:rPr>
            <w:t xml:space="preserve">                                                 </w:t>
          </w:r>
          <w:r w:rsidRPr="00773941">
            <w:rPr>
              <w:noProof/>
              <w:lang w:val="en-GB" w:eastAsia="en-GB"/>
            </w:rPr>
            <w:drawing>
              <wp:inline distT="0" distB="0" distL="0" distR="0" wp14:anchorId="21993C53" wp14:editId="0EAC07C2">
                <wp:extent cx="2210770" cy="880521"/>
                <wp:effectExtent l="0" t="0" r="0" b="0"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2" cy="93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BB7" w:rsidRPr="00AC3E98" w14:paraId="4738D57E" w14:textId="77777777" w:rsidTr="00137BB7">
      <w:trPr>
        <w:trHeight w:val="578"/>
      </w:trPr>
      <w:tc>
        <w:tcPr>
          <w:tcW w:w="3833" w:type="dxa"/>
          <w:vMerge/>
        </w:tcPr>
        <w:p w14:paraId="4F397B5A" w14:textId="35F5B638" w:rsidR="00137BB7" w:rsidRDefault="00137BB7" w:rsidP="00137BB7">
          <w:pPr>
            <w:pStyle w:val="Header"/>
            <w:tabs>
              <w:tab w:val="left" w:pos="-1701"/>
            </w:tabs>
            <w:jc w:val="center"/>
            <w:rPr>
              <w:noProof/>
              <w:lang w:val="en-GB"/>
            </w:rPr>
          </w:pPr>
        </w:p>
      </w:tc>
      <w:tc>
        <w:tcPr>
          <w:tcW w:w="6520" w:type="dxa"/>
        </w:tcPr>
        <w:p w14:paraId="6B3E11AC" w14:textId="21A889DE" w:rsidR="00137BB7" w:rsidRPr="00773941" w:rsidRDefault="00137BB7" w:rsidP="00137BB7">
          <w:pPr>
            <w:pStyle w:val="Header"/>
            <w:tabs>
              <w:tab w:val="left" w:pos="-1701"/>
            </w:tabs>
            <w:jc w:val="center"/>
            <w:rPr>
              <w:b/>
              <w:color w:val="44546A" w:themeColor="text2"/>
              <w:lang w:val="en-US"/>
            </w:rPr>
          </w:pPr>
          <w:r w:rsidRPr="00773941">
            <w:rPr>
              <w:b/>
              <w:color w:val="44546A" w:themeColor="text2"/>
              <w:lang w:val="en-US"/>
            </w:rPr>
            <w:t xml:space="preserve">                                     </w:t>
          </w:r>
          <w:r>
            <w:rPr>
              <w:b/>
              <w:color w:val="44546A" w:themeColor="text2"/>
              <w:lang w:val="en-US"/>
            </w:rPr>
            <w:t xml:space="preserve">     </w:t>
          </w:r>
          <w:r w:rsidRPr="00773941">
            <w:rPr>
              <w:b/>
              <w:color w:val="44546A" w:themeColor="text2"/>
              <w:lang w:val="en-US"/>
            </w:rPr>
            <w:t xml:space="preserve"> www.nicheproject.eu</w:t>
          </w:r>
        </w:p>
      </w:tc>
    </w:tr>
  </w:tbl>
  <w:p w14:paraId="5AA6077A" w14:textId="77777777" w:rsidR="00137BB7" w:rsidRDefault="00137BB7" w:rsidP="00137BB7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6BE"/>
    <w:multiLevelType w:val="hybridMultilevel"/>
    <w:tmpl w:val="9CA4ACE2"/>
    <w:lvl w:ilvl="0" w:tplc="0809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" w15:restartNumberingAfterBreak="0">
    <w:nsid w:val="0405695E"/>
    <w:multiLevelType w:val="hybridMultilevel"/>
    <w:tmpl w:val="FBEE69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548"/>
    <w:multiLevelType w:val="multilevel"/>
    <w:tmpl w:val="1B9ED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0398C"/>
    <w:multiLevelType w:val="hybridMultilevel"/>
    <w:tmpl w:val="4526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9EA"/>
    <w:multiLevelType w:val="multilevel"/>
    <w:tmpl w:val="9DD0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25B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BD6FFC"/>
    <w:multiLevelType w:val="hybridMultilevel"/>
    <w:tmpl w:val="D18E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11369"/>
    <w:multiLevelType w:val="multilevel"/>
    <w:tmpl w:val="BDC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97781B"/>
    <w:multiLevelType w:val="multilevel"/>
    <w:tmpl w:val="F4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6E7AEB"/>
    <w:multiLevelType w:val="hybridMultilevel"/>
    <w:tmpl w:val="D5441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0E9D"/>
    <w:multiLevelType w:val="hybridMultilevel"/>
    <w:tmpl w:val="C302DBA6"/>
    <w:lvl w:ilvl="0" w:tplc="0809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2" w15:restartNumberingAfterBreak="0">
    <w:nsid w:val="41563015"/>
    <w:multiLevelType w:val="multilevel"/>
    <w:tmpl w:val="84A6364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FE4E52"/>
    <w:multiLevelType w:val="multilevel"/>
    <w:tmpl w:val="E90E4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1469D"/>
    <w:multiLevelType w:val="multilevel"/>
    <w:tmpl w:val="6CD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F0EA7"/>
    <w:multiLevelType w:val="multilevel"/>
    <w:tmpl w:val="88E2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85EB3"/>
    <w:multiLevelType w:val="hybridMultilevel"/>
    <w:tmpl w:val="88E09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152B8"/>
    <w:multiLevelType w:val="hybridMultilevel"/>
    <w:tmpl w:val="51D8477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AE4F14"/>
    <w:multiLevelType w:val="multilevel"/>
    <w:tmpl w:val="D9366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73BFC"/>
    <w:multiLevelType w:val="multilevel"/>
    <w:tmpl w:val="EF5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6C5C06"/>
    <w:multiLevelType w:val="multilevel"/>
    <w:tmpl w:val="1DF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500078"/>
    <w:multiLevelType w:val="hybridMultilevel"/>
    <w:tmpl w:val="76AC307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9345B4"/>
    <w:multiLevelType w:val="multilevel"/>
    <w:tmpl w:val="AE94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B23593"/>
    <w:multiLevelType w:val="multilevel"/>
    <w:tmpl w:val="15D60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35B06"/>
    <w:multiLevelType w:val="hybridMultilevel"/>
    <w:tmpl w:val="F96416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9803AF"/>
    <w:multiLevelType w:val="hybridMultilevel"/>
    <w:tmpl w:val="F7E4A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049B7"/>
    <w:multiLevelType w:val="hybridMultilevel"/>
    <w:tmpl w:val="4DAE6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E47C2"/>
    <w:multiLevelType w:val="hybridMultilevel"/>
    <w:tmpl w:val="273A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2"/>
  </w:num>
  <w:num w:numId="10">
    <w:abstractNumId w:val="18"/>
  </w:num>
  <w:num w:numId="11">
    <w:abstractNumId w:val="22"/>
  </w:num>
  <w:num w:numId="12">
    <w:abstractNumId w:val="2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7"/>
  </w:num>
  <w:num w:numId="19">
    <w:abstractNumId w:val="10"/>
  </w:num>
  <w:num w:numId="20">
    <w:abstractNumId w:val="25"/>
  </w:num>
  <w:num w:numId="21">
    <w:abstractNumId w:val="26"/>
  </w:num>
  <w:num w:numId="22">
    <w:abstractNumId w:val="24"/>
  </w:num>
  <w:num w:numId="23">
    <w:abstractNumId w:val="17"/>
  </w:num>
  <w:num w:numId="24">
    <w:abstractNumId w:val="1"/>
  </w:num>
  <w:num w:numId="25">
    <w:abstractNumId w:val="6"/>
  </w:num>
  <w:num w:numId="26">
    <w:abstractNumId w:val="0"/>
  </w:num>
  <w:num w:numId="27">
    <w:abstractNumId w:val="11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B7"/>
    <w:rsid w:val="00000D0B"/>
    <w:rsid w:val="00016F80"/>
    <w:rsid w:val="00030073"/>
    <w:rsid w:val="00033923"/>
    <w:rsid w:val="000523CA"/>
    <w:rsid w:val="0006256F"/>
    <w:rsid w:val="0007284C"/>
    <w:rsid w:val="0007592A"/>
    <w:rsid w:val="00080C8F"/>
    <w:rsid w:val="00086216"/>
    <w:rsid w:val="000B43AF"/>
    <w:rsid w:val="000C0B0F"/>
    <w:rsid w:val="000F2198"/>
    <w:rsid w:val="00100E97"/>
    <w:rsid w:val="00104433"/>
    <w:rsid w:val="001166BD"/>
    <w:rsid w:val="00123213"/>
    <w:rsid w:val="001245BC"/>
    <w:rsid w:val="00137BB7"/>
    <w:rsid w:val="001430CC"/>
    <w:rsid w:val="00156716"/>
    <w:rsid w:val="00160868"/>
    <w:rsid w:val="0016380D"/>
    <w:rsid w:val="00182D61"/>
    <w:rsid w:val="001855C7"/>
    <w:rsid w:val="0019012C"/>
    <w:rsid w:val="001A6925"/>
    <w:rsid w:val="001D14EB"/>
    <w:rsid w:val="001D2803"/>
    <w:rsid w:val="001D5A5D"/>
    <w:rsid w:val="001F5098"/>
    <w:rsid w:val="002218F7"/>
    <w:rsid w:val="00221B08"/>
    <w:rsid w:val="0024304A"/>
    <w:rsid w:val="00265E67"/>
    <w:rsid w:val="00285948"/>
    <w:rsid w:val="002A3693"/>
    <w:rsid w:val="002B53F5"/>
    <w:rsid w:val="002F467A"/>
    <w:rsid w:val="00303D9D"/>
    <w:rsid w:val="00313894"/>
    <w:rsid w:val="00313BD1"/>
    <w:rsid w:val="00321F88"/>
    <w:rsid w:val="00322B6B"/>
    <w:rsid w:val="0032530E"/>
    <w:rsid w:val="0034398A"/>
    <w:rsid w:val="003449DC"/>
    <w:rsid w:val="00362A49"/>
    <w:rsid w:val="003667A1"/>
    <w:rsid w:val="003669F9"/>
    <w:rsid w:val="0037635D"/>
    <w:rsid w:val="0038273A"/>
    <w:rsid w:val="00382895"/>
    <w:rsid w:val="00383ACF"/>
    <w:rsid w:val="00392855"/>
    <w:rsid w:val="003B2FB2"/>
    <w:rsid w:val="003C4AB1"/>
    <w:rsid w:val="003D0EAF"/>
    <w:rsid w:val="003E4342"/>
    <w:rsid w:val="00411E86"/>
    <w:rsid w:val="00441E5C"/>
    <w:rsid w:val="004432EE"/>
    <w:rsid w:val="00452F99"/>
    <w:rsid w:val="004548D7"/>
    <w:rsid w:val="00464696"/>
    <w:rsid w:val="004676B0"/>
    <w:rsid w:val="00477958"/>
    <w:rsid w:val="00490875"/>
    <w:rsid w:val="004918B2"/>
    <w:rsid w:val="00497437"/>
    <w:rsid w:val="004A721B"/>
    <w:rsid w:val="004C0A71"/>
    <w:rsid w:val="004D1010"/>
    <w:rsid w:val="004E4057"/>
    <w:rsid w:val="004F555B"/>
    <w:rsid w:val="00500EA0"/>
    <w:rsid w:val="0051198B"/>
    <w:rsid w:val="005216F4"/>
    <w:rsid w:val="005377DF"/>
    <w:rsid w:val="00540204"/>
    <w:rsid w:val="00552CBF"/>
    <w:rsid w:val="0055527A"/>
    <w:rsid w:val="00592A4D"/>
    <w:rsid w:val="005B5D51"/>
    <w:rsid w:val="005B75B4"/>
    <w:rsid w:val="005F2CAA"/>
    <w:rsid w:val="00603780"/>
    <w:rsid w:val="00625848"/>
    <w:rsid w:val="00654C7D"/>
    <w:rsid w:val="0068544E"/>
    <w:rsid w:val="00687430"/>
    <w:rsid w:val="00690D77"/>
    <w:rsid w:val="00692152"/>
    <w:rsid w:val="006A6F8B"/>
    <w:rsid w:val="006B0174"/>
    <w:rsid w:val="006E54DF"/>
    <w:rsid w:val="006E7024"/>
    <w:rsid w:val="00720C51"/>
    <w:rsid w:val="007610F1"/>
    <w:rsid w:val="0076479E"/>
    <w:rsid w:val="00773E37"/>
    <w:rsid w:val="00776AD9"/>
    <w:rsid w:val="0079461A"/>
    <w:rsid w:val="00797678"/>
    <w:rsid w:val="007A0552"/>
    <w:rsid w:val="007A426D"/>
    <w:rsid w:val="007B0095"/>
    <w:rsid w:val="007B76C9"/>
    <w:rsid w:val="007C0F63"/>
    <w:rsid w:val="007D1C81"/>
    <w:rsid w:val="007D52B9"/>
    <w:rsid w:val="007D728D"/>
    <w:rsid w:val="007F5FC8"/>
    <w:rsid w:val="00807979"/>
    <w:rsid w:val="008241DF"/>
    <w:rsid w:val="008372B3"/>
    <w:rsid w:val="00852C7A"/>
    <w:rsid w:val="008766EF"/>
    <w:rsid w:val="00887D33"/>
    <w:rsid w:val="00895B91"/>
    <w:rsid w:val="008B4C02"/>
    <w:rsid w:val="008D11B9"/>
    <w:rsid w:val="008D1B51"/>
    <w:rsid w:val="008D75EB"/>
    <w:rsid w:val="008E2B7E"/>
    <w:rsid w:val="008F5706"/>
    <w:rsid w:val="0093129D"/>
    <w:rsid w:val="0093270A"/>
    <w:rsid w:val="0094507C"/>
    <w:rsid w:val="00950F21"/>
    <w:rsid w:val="009812E9"/>
    <w:rsid w:val="0098372C"/>
    <w:rsid w:val="00987F0A"/>
    <w:rsid w:val="009A5626"/>
    <w:rsid w:val="009B65EF"/>
    <w:rsid w:val="009B7178"/>
    <w:rsid w:val="009F685E"/>
    <w:rsid w:val="00A00A7C"/>
    <w:rsid w:val="00A02000"/>
    <w:rsid w:val="00A35457"/>
    <w:rsid w:val="00A369D5"/>
    <w:rsid w:val="00A37F00"/>
    <w:rsid w:val="00A61F61"/>
    <w:rsid w:val="00A813C6"/>
    <w:rsid w:val="00A82DC0"/>
    <w:rsid w:val="00A9636B"/>
    <w:rsid w:val="00AA7076"/>
    <w:rsid w:val="00AA7DEB"/>
    <w:rsid w:val="00AB036C"/>
    <w:rsid w:val="00AC0BAF"/>
    <w:rsid w:val="00AC29E9"/>
    <w:rsid w:val="00AC5B51"/>
    <w:rsid w:val="00AD7EBA"/>
    <w:rsid w:val="00AE4D90"/>
    <w:rsid w:val="00AE61D9"/>
    <w:rsid w:val="00AF555B"/>
    <w:rsid w:val="00B00753"/>
    <w:rsid w:val="00B03A77"/>
    <w:rsid w:val="00B1524F"/>
    <w:rsid w:val="00B16F66"/>
    <w:rsid w:val="00B227BF"/>
    <w:rsid w:val="00B22F02"/>
    <w:rsid w:val="00B33BC9"/>
    <w:rsid w:val="00B429F6"/>
    <w:rsid w:val="00B53990"/>
    <w:rsid w:val="00B66DE4"/>
    <w:rsid w:val="00B838FC"/>
    <w:rsid w:val="00B879E7"/>
    <w:rsid w:val="00BA73A1"/>
    <w:rsid w:val="00BB23E4"/>
    <w:rsid w:val="00BB7E70"/>
    <w:rsid w:val="00BC3B58"/>
    <w:rsid w:val="00BD3F50"/>
    <w:rsid w:val="00BF1FD1"/>
    <w:rsid w:val="00BF477D"/>
    <w:rsid w:val="00C03F86"/>
    <w:rsid w:val="00C11C64"/>
    <w:rsid w:val="00C15B17"/>
    <w:rsid w:val="00C25150"/>
    <w:rsid w:val="00C27907"/>
    <w:rsid w:val="00C32D7F"/>
    <w:rsid w:val="00C55CFD"/>
    <w:rsid w:val="00C636BA"/>
    <w:rsid w:val="00C71CC6"/>
    <w:rsid w:val="00C94F23"/>
    <w:rsid w:val="00CB6AD4"/>
    <w:rsid w:val="00CD1047"/>
    <w:rsid w:val="00D130EB"/>
    <w:rsid w:val="00D278CE"/>
    <w:rsid w:val="00D37667"/>
    <w:rsid w:val="00D5047B"/>
    <w:rsid w:val="00D52814"/>
    <w:rsid w:val="00D60A63"/>
    <w:rsid w:val="00D63514"/>
    <w:rsid w:val="00D756F3"/>
    <w:rsid w:val="00D92515"/>
    <w:rsid w:val="00DA3642"/>
    <w:rsid w:val="00DA6E1C"/>
    <w:rsid w:val="00DC482C"/>
    <w:rsid w:val="00DC7FD3"/>
    <w:rsid w:val="00DE26D0"/>
    <w:rsid w:val="00DE5B00"/>
    <w:rsid w:val="00E00BB2"/>
    <w:rsid w:val="00E1231F"/>
    <w:rsid w:val="00E13F9D"/>
    <w:rsid w:val="00E175CC"/>
    <w:rsid w:val="00E42FAD"/>
    <w:rsid w:val="00E64D14"/>
    <w:rsid w:val="00E86B56"/>
    <w:rsid w:val="00E908A8"/>
    <w:rsid w:val="00E91E74"/>
    <w:rsid w:val="00EB09D9"/>
    <w:rsid w:val="00EB41A0"/>
    <w:rsid w:val="00ED4AC9"/>
    <w:rsid w:val="00ED76EA"/>
    <w:rsid w:val="00EE26DE"/>
    <w:rsid w:val="00EF0168"/>
    <w:rsid w:val="00F043EA"/>
    <w:rsid w:val="00F2043E"/>
    <w:rsid w:val="00F23F78"/>
    <w:rsid w:val="00F3209E"/>
    <w:rsid w:val="00F4022C"/>
    <w:rsid w:val="00F50189"/>
    <w:rsid w:val="00F73B47"/>
    <w:rsid w:val="00FD16FA"/>
    <w:rsid w:val="00FD6678"/>
    <w:rsid w:val="00FD7D8C"/>
    <w:rsid w:val="00FE09A3"/>
    <w:rsid w:val="00FF023C"/>
    <w:rsid w:val="2EA9CE7D"/>
    <w:rsid w:val="3E17E4D9"/>
    <w:rsid w:val="4D8C8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45D82D"/>
  <w15:chartTrackingRefBased/>
  <w15:docId w15:val="{C622E56A-50DF-467C-8C4B-D489AB9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F63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"/>
    <w:qFormat/>
    <w:rsid w:val="007C0F63"/>
    <w:pPr>
      <w:spacing w:after="0" w:line="240" w:lineRule="auto"/>
      <w:outlineLvl w:val="0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B7"/>
  </w:style>
  <w:style w:type="paragraph" w:styleId="Footer">
    <w:name w:val="footer"/>
    <w:basedOn w:val="Normal"/>
    <w:link w:val="FooterChar"/>
    <w:uiPriority w:val="99"/>
    <w:unhideWhenUsed/>
    <w:rsid w:val="00137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B7"/>
  </w:style>
  <w:style w:type="table" w:styleId="TableGrid">
    <w:name w:val="Table Grid"/>
    <w:basedOn w:val="TableNormal"/>
    <w:uiPriority w:val="39"/>
    <w:rsid w:val="00137B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76B0"/>
  </w:style>
  <w:style w:type="character" w:customStyle="1" w:styleId="eop">
    <w:name w:val="eop"/>
    <w:basedOn w:val="DefaultParagraphFont"/>
    <w:rsid w:val="004676B0"/>
  </w:style>
  <w:style w:type="character" w:customStyle="1" w:styleId="apple-converted-space">
    <w:name w:val="apple-converted-space"/>
    <w:basedOn w:val="DefaultParagraphFont"/>
    <w:rsid w:val="004676B0"/>
  </w:style>
  <w:style w:type="paragraph" w:styleId="ListParagraph">
    <w:name w:val="List Paragraph"/>
    <w:basedOn w:val="Normal"/>
    <w:uiPriority w:val="99"/>
    <w:qFormat/>
    <w:rsid w:val="00ED4AC9"/>
    <w:pPr>
      <w:ind w:left="720"/>
      <w:contextualSpacing/>
    </w:pPr>
    <w:rPr>
      <w:lang w:val="sk-SK"/>
    </w:rPr>
  </w:style>
  <w:style w:type="character" w:customStyle="1" w:styleId="Heading1Char">
    <w:name w:val="Heading 1 Char"/>
    <w:basedOn w:val="DefaultParagraphFont"/>
    <w:link w:val="Heading1"/>
    <w:rsid w:val="007C0F63"/>
    <w:rPr>
      <w:rFonts w:ascii="Arial" w:eastAsia="Times New Roman" w:hAnsi="Arial" w:cs="Times New Roman"/>
      <w:b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94F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7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ations.jrc.ec.europa.eu/repository/handle/JRC1106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ations.jrc.ec.europa.eu/repository/handle/JRC12037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ublications.jrc.ec.europa.eu/repository/handle/JRC1062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2" ma:contentTypeDescription="Create a new document." ma:contentTypeScope="" ma:versionID="ff16817e6c0304258bb39d3da2e18076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8cf7324cf9e6790ec2856db94d93e328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A7240-B946-445C-BE29-1461663A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D3067-D711-4702-A226-C35E6C2BA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F2D24-3BD0-4BE4-A587-A39D60D3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Arnþrúður Dagsdóttir</cp:lastModifiedBy>
  <cp:revision>134</cp:revision>
  <dcterms:created xsi:type="dcterms:W3CDTF">2022-01-04T18:22:00Z</dcterms:created>
  <dcterms:modified xsi:type="dcterms:W3CDTF">2022-01-25T13:01:00Z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</Properties>
</file>